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3244"/>
        <w:gridCol w:w="3256"/>
        <w:gridCol w:w="3256"/>
      </w:tblGrid>
      <w:tr w:rsidR="005F7B5C" w:rsidRPr="00A212EA">
        <w:tblPrEx>
          <w:tblCellMar>
            <w:top w:w="0" w:type="dxa"/>
            <w:bottom w:w="0" w:type="dxa"/>
          </w:tblCellMar>
        </w:tblPrEx>
        <w:trPr>
          <w:trHeight w:val="1"/>
        </w:trPr>
        <w:tc>
          <w:tcPr>
            <w:tcW w:w="3284" w:type="dxa"/>
            <w:shd w:val="clear" w:color="000000" w:fill="auto"/>
            <w:tcMar>
              <w:left w:w="108" w:type="dxa"/>
              <w:right w:w="108" w:type="dxa"/>
            </w:tcMar>
          </w:tcPr>
          <w:p w:rsidR="005F7B5C" w:rsidRDefault="005F7B5C" w:rsidP="00EA3C9B">
            <w:pPr>
              <w:keepNext/>
              <w:tabs>
                <w:tab w:val="left" w:pos="432"/>
              </w:tabs>
              <w:jc w:val="center"/>
            </w:pPr>
          </w:p>
        </w:tc>
        <w:tc>
          <w:tcPr>
            <w:tcW w:w="3285" w:type="dxa"/>
            <w:shd w:val="clear" w:color="000000" w:fill="auto"/>
            <w:tcMar>
              <w:left w:w="108" w:type="dxa"/>
              <w:right w:w="108" w:type="dxa"/>
            </w:tcMar>
          </w:tcPr>
          <w:p w:rsidR="005F7B5C" w:rsidRDefault="009F7A45" w:rsidP="00EA3C9B">
            <w:pPr>
              <w:keepNext/>
              <w:tabs>
                <w:tab w:val="left" w:pos="432"/>
              </w:tabs>
              <w:jc w:val="center"/>
            </w:pPr>
            <w:r>
              <w:rPr>
                <w:noProof/>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285" w:type="dxa"/>
            <w:shd w:val="clear" w:color="000000" w:fill="auto"/>
            <w:tcMar>
              <w:left w:w="108" w:type="dxa"/>
              <w:right w:w="108" w:type="dxa"/>
            </w:tcMar>
          </w:tcPr>
          <w:p w:rsidR="005F7B5C" w:rsidRPr="00A212EA" w:rsidRDefault="002F65D4" w:rsidP="002F65D4">
            <w:pPr>
              <w:keepNext/>
              <w:tabs>
                <w:tab w:val="left" w:pos="432"/>
              </w:tabs>
            </w:pPr>
            <w:r>
              <w:rPr>
                <w:rFonts w:ascii="Times New Roman" w:hAnsi="Times New Roman" w:cs="Times New Roman"/>
                <w:sz w:val="24"/>
                <w:szCs w:val="24"/>
              </w:rPr>
              <w:t>P</w:t>
            </w:r>
            <w:r w:rsidR="005F7B5C">
              <w:rPr>
                <w:rFonts w:ascii="Times New Roman" w:hAnsi="Times New Roman" w:cs="Times New Roman"/>
                <w:sz w:val="24"/>
                <w:szCs w:val="24"/>
              </w:rPr>
              <w:t>rojektas</w:t>
            </w:r>
          </w:p>
        </w:tc>
      </w:tr>
    </w:tbl>
    <w:p w:rsidR="005F7B5C" w:rsidRDefault="005F7B5C" w:rsidP="00EA3C9B">
      <w:pPr>
        <w:keepNext/>
        <w:tabs>
          <w:tab w:val="left" w:pos="432"/>
        </w:tabs>
        <w:jc w:val="center"/>
        <w:rPr>
          <w:rFonts w:ascii="Times New Roman" w:hAnsi="Times New Roman" w:cs="Times New Roman"/>
          <w:b/>
          <w:bCs/>
          <w:sz w:val="24"/>
          <w:szCs w:val="24"/>
        </w:rPr>
      </w:pPr>
    </w:p>
    <w:p w:rsidR="005F7B5C" w:rsidRDefault="005F7B5C" w:rsidP="00EA3C9B">
      <w:pPr>
        <w:keepNext/>
        <w:tabs>
          <w:tab w:val="left" w:pos="432"/>
        </w:tabs>
        <w:jc w:val="center"/>
        <w:rPr>
          <w:rFonts w:ascii="Times New Roman" w:hAnsi="Times New Roman" w:cs="Times New Roman"/>
          <w:b/>
          <w:bCs/>
          <w:sz w:val="24"/>
          <w:szCs w:val="24"/>
        </w:rPr>
      </w:pPr>
      <w:r>
        <w:rPr>
          <w:rFonts w:ascii="Times New Roman" w:hAnsi="Times New Roman" w:cs="Times New Roman"/>
          <w:b/>
          <w:bCs/>
          <w:sz w:val="24"/>
          <w:szCs w:val="24"/>
        </w:rPr>
        <w:t>ROKIŠKIO RAJONO SAVIVALDYBĖS TARYB</w:t>
      </w:r>
      <w:r w:rsidR="002F65D4">
        <w:rPr>
          <w:rFonts w:ascii="Times New Roman" w:hAnsi="Times New Roman" w:cs="Times New Roman"/>
          <w:b/>
          <w:bCs/>
          <w:sz w:val="24"/>
          <w:szCs w:val="24"/>
        </w:rPr>
        <w:t>A</w:t>
      </w:r>
    </w:p>
    <w:p w:rsidR="005F7B5C" w:rsidRDefault="005F7B5C">
      <w:pPr>
        <w:rPr>
          <w:rFonts w:ascii="Times New Roman" w:hAnsi="Times New Roman" w:cs="Times New Roman"/>
          <w:sz w:val="24"/>
          <w:szCs w:val="24"/>
        </w:rPr>
      </w:pPr>
    </w:p>
    <w:p w:rsidR="005F7B5C" w:rsidRDefault="005F7B5C">
      <w:pPr>
        <w:jc w:val="center"/>
        <w:rPr>
          <w:rFonts w:ascii="Times New Roman" w:hAnsi="Times New Roman" w:cs="Times New Roman"/>
          <w:b/>
          <w:bCs/>
          <w:sz w:val="24"/>
          <w:szCs w:val="24"/>
        </w:rPr>
      </w:pPr>
      <w:r>
        <w:rPr>
          <w:rFonts w:ascii="Times New Roman" w:hAnsi="Times New Roman" w:cs="Times New Roman"/>
          <w:b/>
          <w:bCs/>
          <w:sz w:val="24"/>
          <w:szCs w:val="24"/>
        </w:rPr>
        <w:t>S P R E N D I M A S</w:t>
      </w:r>
    </w:p>
    <w:p w:rsidR="005F7B5C" w:rsidRDefault="005F7B5C">
      <w:pPr>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DĖL GAISRINIŲ GELBĖJIMO AUTOMOBILIŲ PARKO IR GAISRINĖS GELBĖJIMO ĮRANGOS ATNAUJINIMO ROKIŠKIO RAJONO SAVIVALDYBĖS PRIEŠGAISRINĖJE TARNYBOJE 2018</w:t>
      </w:r>
      <w:r w:rsidR="002F65D4">
        <w:rPr>
          <w:rFonts w:ascii="Times New Roman" w:hAnsi="Times New Roman" w:cs="Times New Roman"/>
          <w:b/>
          <w:bCs/>
          <w:sz w:val="24"/>
          <w:szCs w:val="24"/>
        </w:rPr>
        <w:t>–</w:t>
      </w:r>
      <w:r w:rsidR="00506C3F">
        <w:rPr>
          <w:rFonts w:ascii="Times New Roman" w:hAnsi="Times New Roman" w:cs="Times New Roman"/>
          <w:b/>
          <w:bCs/>
          <w:sz w:val="24"/>
          <w:szCs w:val="24"/>
        </w:rPr>
        <w:t>2023</w:t>
      </w:r>
      <w:r>
        <w:rPr>
          <w:rFonts w:ascii="Times New Roman" w:hAnsi="Times New Roman" w:cs="Times New Roman"/>
          <w:b/>
          <w:bCs/>
          <w:sz w:val="24"/>
          <w:szCs w:val="24"/>
        </w:rPr>
        <w:t xml:space="preserve"> METŲ PROGRAMOS PATVIRTINIMO</w:t>
      </w:r>
    </w:p>
    <w:bookmarkEnd w:id="0"/>
    <w:p w:rsidR="005F7B5C" w:rsidRDefault="005F7B5C">
      <w:pPr>
        <w:rPr>
          <w:rFonts w:ascii="Times New Roman" w:hAnsi="Times New Roman" w:cs="Times New Roman"/>
          <w:sz w:val="24"/>
          <w:szCs w:val="24"/>
        </w:rPr>
      </w:pPr>
      <w:r>
        <w:rPr>
          <w:rFonts w:ascii="Times New Roman" w:hAnsi="Times New Roman" w:cs="Times New Roman"/>
          <w:sz w:val="24"/>
          <w:szCs w:val="24"/>
        </w:rPr>
        <w:t> </w:t>
      </w:r>
    </w:p>
    <w:p w:rsidR="005F7B5C" w:rsidRDefault="005F7B5C">
      <w:pPr>
        <w:jc w:val="center"/>
        <w:rPr>
          <w:rFonts w:ascii="Times New Roman" w:hAnsi="Times New Roman" w:cs="Times New Roman"/>
          <w:sz w:val="24"/>
          <w:szCs w:val="24"/>
        </w:rPr>
      </w:pPr>
      <w:r>
        <w:rPr>
          <w:rFonts w:ascii="Times New Roman" w:hAnsi="Times New Roman" w:cs="Times New Roman"/>
          <w:sz w:val="24"/>
          <w:szCs w:val="24"/>
        </w:rPr>
        <w:t xml:space="preserve">2017 m. lapkričio </w:t>
      </w:r>
      <w:r w:rsidR="00263CC4">
        <w:rPr>
          <w:rFonts w:ascii="Times New Roman" w:hAnsi="Times New Roman" w:cs="Times New Roman"/>
          <w:sz w:val="24"/>
          <w:szCs w:val="24"/>
        </w:rPr>
        <w:t>30</w:t>
      </w:r>
      <w:r>
        <w:rPr>
          <w:rFonts w:ascii="Times New Roman" w:hAnsi="Times New Roman" w:cs="Times New Roman"/>
          <w:sz w:val="24"/>
          <w:szCs w:val="24"/>
        </w:rPr>
        <w:t xml:space="preserve"> d. Nr. TS-</w:t>
      </w:r>
    </w:p>
    <w:p w:rsidR="005F7B5C" w:rsidRDefault="005F7B5C">
      <w:pPr>
        <w:jc w:val="center"/>
        <w:rPr>
          <w:rFonts w:ascii="Times New Roman" w:hAnsi="Times New Roman" w:cs="Times New Roman"/>
          <w:sz w:val="24"/>
          <w:szCs w:val="24"/>
        </w:rPr>
      </w:pPr>
      <w:r>
        <w:rPr>
          <w:rFonts w:ascii="Times New Roman" w:hAnsi="Times New Roman" w:cs="Times New Roman"/>
          <w:sz w:val="24"/>
          <w:szCs w:val="24"/>
        </w:rPr>
        <w:t>Rokiškis</w:t>
      </w:r>
    </w:p>
    <w:p w:rsidR="005F7B5C" w:rsidRDefault="005F7B5C">
      <w:pPr>
        <w:jc w:val="center"/>
        <w:rPr>
          <w:rFonts w:ascii="Times New Roman" w:hAnsi="Times New Roman" w:cs="Times New Roman"/>
          <w:sz w:val="24"/>
          <w:szCs w:val="24"/>
        </w:rPr>
      </w:pPr>
      <w:r>
        <w:rPr>
          <w:rFonts w:ascii="Times New Roman" w:hAnsi="Times New Roman" w:cs="Times New Roman"/>
          <w:sz w:val="24"/>
          <w:szCs w:val="24"/>
        </w:rPr>
        <w:t> </w:t>
      </w:r>
    </w:p>
    <w:p w:rsidR="005F7B5C" w:rsidRDefault="005F7B5C">
      <w:pPr>
        <w:jc w:val="center"/>
        <w:rPr>
          <w:rFonts w:ascii="Times New Roman" w:hAnsi="Times New Roman" w:cs="Times New Roman"/>
          <w:sz w:val="24"/>
          <w:szCs w:val="24"/>
        </w:rPr>
      </w:pPr>
      <w:r>
        <w:rPr>
          <w:rFonts w:ascii="Times New Roman" w:hAnsi="Times New Roman" w:cs="Times New Roman"/>
          <w:sz w:val="24"/>
          <w:szCs w:val="24"/>
        </w:rPr>
        <w:t> </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Vadovaudamasi Lietuvos Respublikos vietos savivaldos įstatymo 16 straipsnio 2 dalies 40 punktu bei siekdama stiprinti Rokiškio rajono savivaldybės priešgaisrinės tarnybos gebėjimą užtikrinti patikimą žmonių gyvybės, sveikatos ir nuosavybės apsaugą nuo gaisrų ir kitų ekstremalių įvykių, Rokiškio rajono savivaldybės taryba n u s p r e n d ž i a:</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Patvirtinti Gaisrinių gelbėjimo automobilių parko ir gaisrinės gelbėjimo įrangos atnaujinimo Rokiškio rajono savivaldybės priešgaisrinėje tarnyboje 2018</w:t>
      </w:r>
      <w:r w:rsidR="007956C4">
        <w:rPr>
          <w:rFonts w:ascii="Times New Roman" w:hAnsi="Times New Roman" w:cs="Times New Roman"/>
          <w:b/>
          <w:bCs/>
          <w:sz w:val="24"/>
          <w:szCs w:val="24"/>
        </w:rPr>
        <w:t>–</w:t>
      </w:r>
      <w:r w:rsidR="00506C3F">
        <w:rPr>
          <w:rFonts w:ascii="Times New Roman" w:hAnsi="Times New Roman" w:cs="Times New Roman"/>
          <w:sz w:val="24"/>
          <w:szCs w:val="24"/>
        </w:rPr>
        <w:t>2023</w:t>
      </w:r>
      <w:r>
        <w:rPr>
          <w:rFonts w:ascii="Times New Roman" w:hAnsi="Times New Roman" w:cs="Times New Roman"/>
          <w:sz w:val="24"/>
          <w:szCs w:val="24"/>
        </w:rPr>
        <w:t xml:space="preserve"> metų programą (pridedama).</w:t>
      </w:r>
    </w:p>
    <w:p w:rsidR="005F7B5C" w:rsidRDefault="005F7B5C">
      <w:pPr>
        <w:rPr>
          <w:rFonts w:ascii="Times New Roman" w:hAnsi="Times New Roman" w:cs="Times New Roman"/>
          <w:sz w:val="24"/>
          <w:szCs w:val="24"/>
        </w:rPr>
      </w:pPr>
    </w:p>
    <w:p w:rsidR="005F7B5C" w:rsidRDefault="009F7A45" w:rsidP="009F7A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5F7B5C" w:rsidRDefault="005F7B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5F7B5C" w:rsidRDefault="005F7B5C">
      <w:pPr>
        <w:rPr>
          <w:rFonts w:ascii="Times New Roman" w:hAnsi="Times New Roman" w:cs="Times New Roman"/>
          <w:sz w:val="24"/>
          <w:szCs w:val="24"/>
        </w:rPr>
      </w:pPr>
      <w:r>
        <w:rPr>
          <w:rFonts w:ascii="Times New Roman" w:hAnsi="Times New Roman" w:cs="Times New Roman"/>
          <w:sz w:val="24"/>
          <w:szCs w:val="24"/>
        </w:rPr>
        <w:t> Savivaldybės meras                                                                             Antanas Vagonis</w:t>
      </w:r>
    </w:p>
    <w:p w:rsidR="005F7B5C" w:rsidRDefault="005F7B5C">
      <w:pPr>
        <w:spacing w:line="360" w:lineRule="auto"/>
        <w:jc w:val="both"/>
        <w:rPr>
          <w:rFonts w:ascii="Times New Roman" w:hAnsi="Times New Roman" w:cs="Times New Roman"/>
          <w:sz w:val="24"/>
          <w:szCs w:val="24"/>
        </w:rPr>
      </w:pPr>
    </w:p>
    <w:p w:rsidR="005F7B5C" w:rsidRDefault="005F7B5C">
      <w:pPr>
        <w:spacing w:line="360" w:lineRule="auto"/>
        <w:jc w:val="both"/>
        <w:rPr>
          <w:rFonts w:ascii="Times New Roman" w:hAnsi="Times New Roman" w:cs="Times New Roman"/>
          <w:sz w:val="24"/>
          <w:szCs w:val="24"/>
        </w:rPr>
      </w:pPr>
    </w:p>
    <w:p w:rsidR="005F7B5C" w:rsidRDefault="005F7B5C">
      <w:pPr>
        <w:spacing w:line="360" w:lineRule="auto"/>
        <w:jc w:val="both"/>
        <w:rPr>
          <w:rFonts w:ascii="Times New Roman" w:hAnsi="Times New Roman" w:cs="Times New Roman"/>
          <w:sz w:val="24"/>
          <w:szCs w:val="24"/>
        </w:rPr>
      </w:pPr>
    </w:p>
    <w:p w:rsidR="005F7B5C" w:rsidRDefault="005F7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F7B5C" w:rsidRDefault="005F7B5C">
      <w:pPr>
        <w:spacing w:line="360" w:lineRule="auto"/>
        <w:jc w:val="both"/>
        <w:rPr>
          <w:rFonts w:ascii="Times New Roman" w:hAnsi="Times New Roman" w:cs="Times New Roman"/>
          <w:sz w:val="24"/>
          <w:szCs w:val="24"/>
        </w:rPr>
      </w:pPr>
    </w:p>
    <w:p w:rsidR="005F7B5C" w:rsidRDefault="005F7B5C">
      <w:pPr>
        <w:spacing w:line="360" w:lineRule="auto"/>
        <w:jc w:val="both"/>
        <w:rPr>
          <w:rFonts w:ascii="Times New Roman" w:hAnsi="Times New Roman" w:cs="Times New Roman"/>
          <w:sz w:val="24"/>
          <w:szCs w:val="24"/>
        </w:rPr>
      </w:pPr>
    </w:p>
    <w:p w:rsidR="005F7B5C" w:rsidRDefault="005F7B5C">
      <w:pPr>
        <w:spacing w:line="360" w:lineRule="auto"/>
        <w:jc w:val="both"/>
        <w:rPr>
          <w:rFonts w:ascii="Times New Roman" w:hAnsi="Times New Roman" w:cs="Times New Roman"/>
          <w:sz w:val="24"/>
          <w:szCs w:val="24"/>
        </w:rPr>
      </w:pPr>
    </w:p>
    <w:p w:rsidR="005F7B5C" w:rsidRDefault="005F7B5C">
      <w:pPr>
        <w:spacing w:line="360" w:lineRule="auto"/>
        <w:jc w:val="both"/>
        <w:rPr>
          <w:rFonts w:ascii="Times New Roman" w:hAnsi="Times New Roman" w:cs="Times New Roman"/>
          <w:sz w:val="24"/>
          <w:szCs w:val="24"/>
        </w:rPr>
      </w:pPr>
    </w:p>
    <w:p w:rsidR="005F7B5C" w:rsidRDefault="005F7B5C">
      <w:pPr>
        <w:spacing w:line="360" w:lineRule="auto"/>
        <w:jc w:val="both"/>
        <w:rPr>
          <w:rFonts w:ascii="Times New Roman" w:hAnsi="Times New Roman" w:cs="Times New Roman"/>
          <w:sz w:val="24"/>
          <w:szCs w:val="24"/>
        </w:rPr>
      </w:pPr>
    </w:p>
    <w:p w:rsidR="005F7B5C" w:rsidRDefault="005F7B5C">
      <w:pPr>
        <w:spacing w:line="360" w:lineRule="auto"/>
        <w:jc w:val="both"/>
        <w:rPr>
          <w:rFonts w:ascii="Times New Roman" w:hAnsi="Times New Roman" w:cs="Times New Roman"/>
          <w:sz w:val="24"/>
          <w:szCs w:val="24"/>
        </w:rPr>
      </w:pPr>
    </w:p>
    <w:p w:rsidR="005F7B5C" w:rsidRDefault="005F7B5C">
      <w:pPr>
        <w:spacing w:line="360" w:lineRule="auto"/>
        <w:jc w:val="both"/>
        <w:rPr>
          <w:rFonts w:ascii="Times New Roman" w:hAnsi="Times New Roman" w:cs="Times New Roman"/>
          <w:sz w:val="24"/>
          <w:szCs w:val="24"/>
        </w:rPr>
      </w:pPr>
    </w:p>
    <w:p w:rsidR="005F7B5C" w:rsidRDefault="005F7B5C">
      <w:pPr>
        <w:spacing w:line="360" w:lineRule="auto"/>
        <w:jc w:val="both"/>
        <w:rPr>
          <w:rFonts w:ascii="Times New Roman" w:hAnsi="Times New Roman" w:cs="Times New Roman"/>
          <w:sz w:val="24"/>
          <w:szCs w:val="24"/>
        </w:rPr>
      </w:pPr>
    </w:p>
    <w:p w:rsidR="009F7A45" w:rsidRDefault="009F7A45">
      <w:pPr>
        <w:spacing w:line="360" w:lineRule="auto"/>
        <w:jc w:val="both"/>
        <w:rPr>
          <w:rFonts w:ascii="Times New Roman" w:hAnsi="Times New Roman" w:cs="Times New Roman"/>
          <w:sz w:val="24"/>
          <w:szCs w:val="24"/>
        </w:rPr>
      </w:pPr>
    </w:p>
    <w:p w:rsidR="009F7A45" w:rsidRDefault="009F7A45">
      <w:pPr>
        <w:spacing w:line="360" w:lineRule="auto"/>
        <w:jc w:val="both"/>
        <w:rPr>
          <w:rFonts w:ascii="Times New Roman" w:hAnsi="Times New Roman" w:cs="Times New Roman"/>
          <w:sz w:val="24"/>
          <w:szCs w:val="24"/>
        </w:rPr>
      </w:pPr>
    </w:p>
    <w:p w:rsidR="005F7B5C" w:rsidRDefault="005F7B5C">
      <w:pPr>
        <w:spacing w:line="360" w:lineRule="auto"/>
        <w:jc w:val="both"/>
        <w:rPr>
          <w:rFonts w:ascii="Times New Roman" w:hAnsi="Times New Roman" w:cs="Times New Roman"/>
          <w:sz w:val="24"/>
          <w:szCs w:val="24"/>
        </w:rPr>
      </w:pPr>
    </w:p>
    <w:p w:rsidR="005F7B5C" w:rsidRDefault="00F64F08" w:rsidP="009F7A45">
      <w:pPr>
        <w:spacing w:line="360" w:lineRule="auto"/>
        <w:jc w:val="both"/>
        <w:rPr>
          <w:rFonts w:ascii="Times New Roman" w:hAnsi="Times New Roman" w:cs="Times New Roman"/>
          <w:sz w:val="24"/>
          <w:szCs w:val="24"/>
        </w:rPr>
      </w:pPr>
      <w:r>
        <w:rPr>
          <w:rFonts w:ascii="Times New Roman" w:hAnsi="Times New Roman" w:cs="Times New Roman"/>
          <w:sz w:val="24"/>
          <w:szCs w:val="24"/>
        </w:rPr>
        <w:t>Remigijus Sunklodas</w:t>
      </w:r>
    </w:p>
    <w:tbl>
      <w:tblPr>
        <w:tblW w:w="0" w:type="auto"/>
        <w:tblLook w:val="01E0" w:firstRow="1" w:lastRow="1" w:firstColumn="1" w:lastColumn="1" w:noHBand="0" w:noVBand="0"/>
      </w:tblPr>
      <w:tblGrid>
        <w:gridCol w:w="5688"/>
        <w:gridCol w:w="4166"/>
      </w:tblGrid>
      <w:tr w:rsidR="005F7B5C" w:rsidRPr="003A53BA" w:rsidTr="003A53BA">
        <w:tc>
          <w:tcPr>
            <w:tcW w:w="5688" w:type="dxa"/>
            <w:shd w:val="clear" w:color="auto" w:fill="auto"/>
          </w:tcPr>
          <w:p w:rsidR="005F7B5C" w:rsidRPr="009F7A45" w:rsidRDefault="005F7B5C">
            <w:pPr>
              <w:rPr>
                <w:rFonts w:ascii="Times New Roman" w:hAnsi="Times New Roman" w:cs="Times New Roman"/>
                <w:sz w:val="24"/>
                <w:szCs w:val="24"/>
              </w:rPr>
            </w:pPr>
          </w:p>
        </w:tc>
        <w:tc>
          <w:tcPr>
            <w:tcW w:w="4166" w:type="dxa"/>
            <w:shd w:val="clear" w:color="auto" w:fill="auto"/>
          </w:tcPr>
          <w:p w:rsidR="005F7B5C" w:rsidRPr="009F7A45" w:rsidRDefault="005F7B5C">
            <w:pPr>
              <w:rPr>
                <w:rFonts w:ascii="Times New Roman" w:hAnsi="Times New Roman" w:cs="Times New Roman"/>
                <w:sz w:val="24"/>
                <w:szCs w:val="24"/>
              </w:rPr>
            </w:pPr>
            <w:r w:rsidRPr="009F7A45">
              <w:rPr>
                <w:rFonts w:ascii="Times New Roman" w:hAnsi="Times New Roman" w:cs="Times New Roman"/>
                <w:sz w:val="24"/>
                <w:szCs w:val="24"/>
              </w:rPr>
              <w:t>PATVIRTINTA</w:t>
            </w:r>
          </w:p>
          <w:p w:rsidR="005F7B5C" w:rsidRPr="009F7A45" w:rsidRDefault="005F7B5C">
            <w:pPr>
              <w:rPr>
                <w:rFonts w:ascii="Times New Roman" w:hAnsi="Times New Roman" w:cs="Times New Roman"/>
                <w:sz w:val="24"/>
                <w:szCs w:val="24"/>
              </w:rPr>
            </w:pPr>
            <w:r w:rsidRPr="009F7A45">
              <w:rPr>
                <w:rFonts w:ascii="Times New Roman" w:hAnsi="Times New Roman" w:cs="Times New Roman"/>
                <w:sz w:val="24"/>
                <w:szCs w:val="24"/>
              </w:rPr>
              <w:t>Rokiškio rajono savivaldybės tarybos</w:t>
            </w:r>
          </w:p>
          <w:p w:rsidR="009F7A45" w:rsidRDefault="005F7B5C" w:rsidP="00220843">
            <w:pPr>
              <w:rPr>
                <w:rFonts w:ascii="Times New Roman" w:hAnsi="Times New Roman" w:cs="Times New Roman"/>
                <w:sz w:val="24"/>
                <w:szCs w:val="24"/>
              </w:rPr>
            </w:pPr>
            <w:r w:rsidRPr="009F7A45">
              <w:rPr>
                <w:rFonts w:ascii="Times New Roman" w:hAnsi="Times New Roman" w:cs="Times New Roman"/>
                <w:sz w:val="24"/>
                <w:szCs w:val="24"/>
              </w:rPr>
              <w:t xml:space="preserve">2017 m. lapkričio </w:t>
            </w:r>
            <w:r w:rsidR="00220843" w:rsidRPr="009F7A45">
              <w:rPr>
                <w:rFonts w:ascii="Times New Roman" w:hAnsi="Times New Roman" w:cs="Times New Roman"/>
                <w:sz w:val="24"/>
                <w:szCs w:val="24"/>
              </w:rPr>
              <w:t>30</w:t>
            </w:r>
            <w:r w:rsidR="009F7A45">
              <w:rPr>
                <w:rFonts w:ascii="Times New Roman" w:hAnsi="Times New Roman" w:cs="Times New Roman"/>
                <w:sz w:val="24"/>
                <w:szCs w:val="24"/>
              </w:rPr>
              <w:t xml:space="preserve"> </w:t>
            </w:r>
            <w:r w:rsidRPr="009F7A45">
              <w:rPr>
                <w:rFonts w:ascii="Times New Roman" w:hAnsi="Times New Roman" w:cs="Times New Roman"/>
                <w:sz w:val="24"/>
                <w:szCs w:val="24"/>
              </w:rPr>
              <w:t xml:space="preserve">d. </w:t>
            </w:r>
          </w:p>
          <w:p w:rsidR="005F7B5C" w:rsidRPr="009F7A45" w:rsidRDefault="005F7B5C" w:rsidP="00220843">
            <w:pPr>
              <w:rPr>
                <w:rFonts w:ascii="Times New Roman" w:hAnsi="Times New Roman" w:cs="Times New Roman"/>
                <w:sz w:val="24"/>
                <w:szCs w:val="24"/>
              </w:rPr>
            </w:pPr>
            <w:r w:rsidRPr="009F7A45">
              <w:rPr>
                <w:rFonts w:ascii="Times New Roman" w:hAnsi="Times New Roman" w:cs="Times New Roman"/>
                <w:sz w:val="24"/>
                <w:szCs w:val="24"/>
              </w:rPr>
              <w:t>sprendimu Nr.TS-</w:t>
            </w:r>
          </w:p>
        </w:tc>
      </w:tr>
    </w:tbl>
    <w:p w:rsidR="005F7B5C" w:rsidRDefault="005F7B5C">
      <w:pPr>
        <w:rPr>
          <w:rFonts w:ascii="Times New Roman" w:hAnsi="Times New Roman" w:cs="Times New Roman"/>
          <w:sz w:val="24"/>
          <w:szCs w:val="24"/>
        </w:rPr>
      </w:pPr>
      <w:r>
        <w:rPr>
          <w:rFonts w:ascii="Times New Roman" w:hAnsi="Times New Roman" w:cs="Times New Roman"/>
          <w:sz w:val="24"/>
          <w:szCs w:val="24"/>
        </w:rPr>
        <w:t> </w:t>
      </w:r>
    </w:p>
    <w:p w:rsidR="005F7B5C" w:rsidRDefault="005F7B5C">
      <w:pPr>
        <w:jc w:val="center"/>
        <w:rPr>
          <w:rFonts w:ascii="Times New Roman" w:hAnsi="Times New Roman" w:cs="Times New Roman"/>
          <w:b/>
          <w:bCs/>
          <w:caps/>
          <w:sz w:val="24"/>
          <w:szCs w:val="24"/>
        </w:rPr>
      </w:pPr>
      <w:r>
        <w:rPr>
          <w:rFonts w:ascii="Times New Roman" w:hAnsi="Times New Roman" w:cs="Times New Roman"/>
          <w:b/>
          <w:bCs/>
          <w:caps/>
          <w:sz w:val="24"/>
          <w:szCs w:val="24"/>
        </w:rPr>
        <w:t>gaisrinių gelbėjimo automobilių parko IR GAISRINĖS GELBĖJIMO ĮR</w:t>
      </w:r>
      <w:r w:rsidR="009F7A45">
        <w:rPr>
          <w:rFonts w:ascii="Times New Roman" w:hAnsi="Times New Roman" w:cs="Times New Roman"/>
          <w:b/>
          <w:bCs/>
          <w:caps/>
          <w:sz w:val="24"/>
          <w:szCs w:val="24"/>
        </w:rPr>
        <w:t xml:space="preserve">ANGOS atnaujinimo savivaldybĖS </w:t>
      </w:r>
      <w:r>
        <w:rPr>
          <w:rFonts w:ascii="Times New Roman" w:hAnsi="Times New Roman" w:cs="Times New Roman"/>
          <w:b/>
          <w:bCs/>
          <w:caps/>
          <w:sz w:val="24"/>
          <w:szCs w:val="24"/>
        </w:rPr>
        <w:t xml:space="preserve">priešgaisrinėJE tarnyboJE </w:t>
      </w:r>
    </w:p>
    <w:p w:rsidR="005F7B5C" w:rsidRDefault="005F7B5C">
      <w:pPr>
        <w:jc w:val="center"/>
        <w:rPr>
          <w:rFonts w:ascii="Times New Roman" w:hAnsi="Times New Roman" w:cs="Times New Roman"/>
          <w:b/>
          <w:bCs/>
          <w:caps/>
          <w:sz w:val="24"/>
          <w:szCs w:val="24"/>
        </w:rPr>
      </w:pPr>
      <w:r>
        <w:rPr>
          <w:rFonts w:ascii="Times New Roman" w:hAnsi="Times New Roman" w:cs="Times New Roman"/>
          <w:b/>
          <w:bCs/>
          <w:caps/>
          <w:sz w:val="24"/>
          <w:szCs w:val="24"/>
        </w:rPr>
        <w:t>2018</w:t>
      </w:r>
      <w:r w:rsidR="00F64F08">
        <w:rPr>
          <w:rFonts w:ascii="Times New Roman" w:hAnsi="Times New Roman" w:cs="Times New Roman"/>
          <w:b/>
          <w:bCs/>
          <w:sz w:val="24"/>
          <w:szCs w:val="24"/>
        </w:rPr>
        <w:t>–</w:t>
      </w:r>
      <w:r w:rsidR="00506C3F">
        <w:rPr>
          <w:rFonts w:ascii="Times New Roman" w:hAnsi="Times New Roman" w:cs="Times New Roman"/>
          <w:b/>
          <w:bCs/>
          <w:caps/>
          <w:sz w:val="24"/>
          <w:szCs w:val="24"/>
        </w:rPr>
        <w:t>2023</w:t>
      </w:r>
      <w:r>
        <w:rPr>
          <w:rFonts w:ascii="Times New Roman" w:hAnsi="Times New Roman" w:cs="Times New Roman"/>
          <w:b/>
          <w:bCs/>
          <w:caps/>
          <w:sz w:val="24"/>
          <w:szCs w:val="24"/>
        </w:rPr>
        <w:t xml:space="preserve"> Metų programa</w:t>
      </w:r>
    </w:p>
    <w:p w:rsidR="005F7B5C" w:rsidRDefault="005F7B5C">
      <w:pPr>
        <w:rPr>
          <w:rFonts w:ascii="Times New Roman" w:hAnsi="Times New Roman" w:cs="Times New Roman"/>
          <w:sz w:val="24"/>
          <w:szCs w:val="24"/>
        </w:rPr>
      </w:pPr>
      <w:r>
        <w:rPr>
          <w:rFonts w:ascii="Times New Roman" w:hAnsi="Times New Roman" w:cs="Times New Roman"/>
          <w:sz w:val="24"/>
          <w:szCs w:val="24"/>
        </w:rPr>
        <w:t> </w:t>
      </w:r>
    </w:p>
    <w:p w:rsidR="005F7B5C" w:rsidRDefault="005F7B5C">
      <w:pPr>
        <w:jc w:val="center"/>
        <w:rPr>
          <w:rFonts w:ascii="Times New Roman" w:hAnsi="Times New Roman" w:cs="Times New Roman"/>
          <w:b/>
          <w:bCs/>
          <w:sz w:val="24"/>
          <w:szCs w:val="24"/>
        </w:rPr>
      </w:pPr>
      <w:r>
        <w:rPr>
          <w:rFonts w:ascii="Times New Roman" w:hAnsi="Times New Roman" w:cs="Times New Roman"/>
          <w:b/>
          <w:bCs/>
          <w:sz w:val="24"/>
          <w:szCs w:val="24"/>
        </w:rPr>
        <w:t>I. BENDROSIOS NUOSTATOS</w:t>
      </w:r>
    </w:p>
    <w:p w:rsidR="005F7B5C" w:rsidRDefault="005F7B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1. Gaisrinių gelbėjimo automobilių parko ir gaisrinės gelbėjimo įrangos atnaujinimo Rokiškio rajono savivaldybės priešgaisrinėje tarnybos programos (toliau – ši Programa) paskirtis – gerinti savivaldybės priešgaisrinės tarnybos aprūpinimą techninėmis priemonėmis, kurios užtikrintų efektyvesnį gaisrų gesinimą ir gelbėjimą, leistų geriau apsaugoti žmones nuo žūties ir traumų kilus gaisrui ir ištikus kitam ekstremaliam įvykiui, prarasti mažiau turto ir gamtos išteklių.</w:t>
      </w:r>
    </w:p>
    <w:p w:rsidR="005F7B5C" w:rsidRDefault="005F7B5C">
      <w:pPr>
        <w:ind w:firstLine="900"/>
        <w:rPr>
          <w:rFonts w:ascii="Times New Roman" w:hAnsi="Times New Roman" w:cs="Times New Roman"/>
          <w:sz w:val="24"/>
          <w:szCs w:val="24"/>
        </w:rPr>
      </w:pPr>
    </w:p>
    <w:p w:rsidR="005F7B5C" w:rsidRDefault="005F7B5C">
      <w:pPr>
        <w:jc w:val="center"/>
        <w:rPr>
          <w:rFonts w:ascii="Times New Roman" w:hAnsi="Times New Roman" w:cs="Times New Roman"/>
          <w:b/>
          <w:bCs/>
          <w:sz w:val="24"/>
          <w:szCs w:val="24"/>
        </w:rPr>
      </w:pPr>
      <w:r>
        <w:rPr>
          <w:rFonts w:ascii="Times New Roman" w:hAnsi="Times New Roman" w:cs="Times New Roman"/>
          <w:b/>
          <w:bCs/>
          <w:sz w:val="24"/>
          <w:szCs w:val="24"/>
        </w:rPr>
        <w:t>II. ESAMOS BŪKLĖS ANALIZĖ</w:t>
      </w:r>
    </w:p>
    <w:p w:rsidR="005F7B5C" w:rsidRDefault="005F7B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2. Šiuo metu savivaldybės priešgaisrinė tarnyba – pagrindinė valstybinės priešgaisrinės gelbėjimo tarnybos talkininkė, organizuojanti kaimo gyvenamosiose vietovėse kilusių gaisrų , kurių sparčiai gausėja, gesinimą, juos gesinanti bei atliekanti įvairius gelbėjimo darbus.</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3. Lietuvoje per gaisrus gyventojų žūva 7 kartus daugiau negu Europos Sąjungos valstybėse – Lietuvoje 100 tūkst. gyventojų tenka 8,4 žuvusiojo (Vokietijoje – 0,7, Italijoje – 0,8, Olandijoje – 0,5, Didžiojoje Britanijoje – 1,1, Prancūzijoje – 1,1, Ispanijoje – 0,6, Austrijoje – 0,8).</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4. Augant ekonomikai, plečiantis įvairiai veiklai, galima prognozuoti, kad gaisrų gesinimo ir gelbėjimo darbų daugės. Nuo to, kokiomis techninėmis priemonėmis aprūpinta savivaldybės priešgaisrinė tarnyba, priklauso ir jos darbo sėkmė – kiek išgelbėta žmonių gyvybių, išsaugota turto, gamtos išteklių.</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5. 2017 m. savivaldybės priešgaisrinės tarnybos gaisrinių automobilių parką sudarė 17 transporto priemonių, iš jų – 15 gaisrin</w:t>
      </w:r>
      <w:r w:rsidR="00BA1EE1">
        <w:rPr>
          <w:rFonts w:ascii="Times New Roman" w:hAnsi="Times New Roman" w:cs="Times New Roman"/>
          <w:sz w:val="24"/>
          <w:szCs w:val="24"/>
        </w:rPr>
        <w:t>ių</w:t>
      </w:r>
      <w:r>
        <w:rPr>
          <w:rFonts w:ascii="Times New Roman" w:hAnsi="Times New Roman" w:cs="Times New Roman"/>
          <w:sz w:val="24"/>
          <w:szCs w:val="24"/>
        </w:rPr>
        <w:t>s automobilin</w:t>
      </w:r>
      <w:r w:rsidR="00BA1EE1">
        <w:rPr>
          <w:rFonts w:ascii="Times New Roman" w:hAnsi="Times New Roman" w:cs="Times New Roman"/>
          <w:sz w:val="24"/>
          <w:szCs w:val="24"/>
        </w:rPr>
        <w:t>ių cisternų</w:t>
      </w:r>
      <w:r>
        <w:rPr>
          <w:rFonts w:ascii="Times New Roman" w:hAnsi="Times New Roman" w:cs="Times New Roman"/>
          <w:sz w:val="24"/>
          <w:szCs w:val="24"/>
        </w:rPr>
        <w:t>, 1 specialiosios paskirties krovininis automobilis, skirtas naftos produktų išsiliejimo padarini</w:t>
      </w:r>
      <w:r w:rsidR="00BA1EE1">
        <w:rPr>
          <w:rFonts w:ascii="Times New Roman" w:hAnsi="Times New Roman" w:cs="Times New Roman"/>
          <w:sz w:val="24"/>
          <w:szCs w:val="24"/>
        </w:rPr>
        <w:t>ams likviduoti</w:t>
      </w:r>
      <w:r>
        <w:rPr>
          <w:rFonts w:ascii="Times New Roman" w:hAnsi="Times New Roman" w:cs="Times New Roman"/>
          <w:sz w:val="24"/>
          <w:szCs w:val="24"/>
        </w:rPr>
        <w:t xml:space="preserve"> ir gelbėjimo darbams vandenyje ir 1 lengvasis krovininis padidinto pravažumo automobilis, skirtas 9 ugniagesių komand</w:t>
      </w:r>
      <w:r w:rsidR="00F64F08">
        <w:rPr>
          <w:rFonts w:ascii="Times New Roman" w:hAnsi="Times New Roman" w:cs="Times New Roman"/>
          <w:sz w:val="24"/>
          <w:szCs w:val="24"/>
        </w:rPr>
        <w:t xml:space="preserve">oms aprūpinti. </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6. Savivaldybės priešgaisrinėje tarnyboje gaisrinių gelbėjimo automobilių parko sudėtinė struktūra yra kritinės būklės. Automobiliai sensta ypač greitai, jų patikimumas mažėja. Iš turimų pagrindinių ir specialiųjų gaisrinių gelbėjimo automobilių net 16 automobilių pagaminti buvusioje Sovietų Sąjungoje. Savivaldybės priešgaisrinės tarnybos gaisrinių gelbėjimo automobilių pagaminimo metų vidurkis – 32 metai (t.</w:t>
      </w:r>
      <w:r w:rsidR="00F64F08">
        <w:rPr>
          <w:rFonts w:ascii="Times New Roman" w:hAnsi="Times New Roman" w:cs="Times New Roman"/>
          <w:sz w:val="24"/>
          <w:szCs w:val="24"/>
        </w:rPr>
        <w:t xml:space="preserve"> </w:t>
      </w:r>
      <w:r>
        <w:rPr>
          <w:rFonts w:ascii="Times New Roman" w:hAnsi="Times New Roman" w:cs="Times New Roman"/>
          <w:sz w:val="24"/>
          <w:szCs w:val="24"/>
        </w:rPr>
        <w:t>y. didesnis už amortizacijos normatyvą), kai gamintojai rekomenduoja eksploatuoti ne ilgiau kaip 10 metų. Visų gaisrinių automobilių varikliai varomi  benzinu, kurio sąnaudos 100 km nuvažiuoti siekia 34</w:t>
      </w:r>
      <w:r w:rsidR="00F64F08">
        <w:rPr>
          <w:rFonts w:ascii="Times New Roman" w:hAnsi="Times New Roman" w:cs="Times New Roman"/>
          <w:b/>
          <w:bCs/>
          <w:sz w:val="24"/>
          <w:szCs w:val="24"/>
        </w:rPr>
        <w:t>–</w:t>
      </w:r>
      <w:r>
        <w:rPr>
          <w:rFonts w:ascii="Times New Roman" w:hAnsi="Times New Roman" w:cs="Times New Roman"/>
          <w:sz w:val="24"/>
          <w:szCs w:val="24"/>
        </w:rPr>
        <w:t>70 litrų. Kadangi apie 50 procentų visų gaisrų užgesinama vienu gaisriniu švirkštu, daug ekonomiškiau naudoti lengvos klasės gaisrinius automobilius (bendroji masė – 2–7,5 tonos)</w:t>
      </w:r>
      <w:r w:rsidR="00F64F08">
        <w:rPr>
          <w:rFonts w:ascii="Times New Roman" w:hAnsi="Times New Roman" w:cs="Times New Roman"/>
          <w:sz w:val="24"/>
          <w:szCs w:val="24"/>
        </w:rPr>
        <w:t>,</w:t>
      </w:r>
      <w:r>
        <w:rPr>
          <w:rFonts w:ascii="Times New Roman" w:hAnsi="Times New Roman" w:cs="Times New Roman"/>
          <w:sz w:val="24"/>
          <w:szCs w:val="24"/>
        </w:rPr>
        <w:t xml:space="preserve"> varomus dyzelinu, turinčius specialius aukšto slėgio siurblius.</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 xml:space="preserve">7. Labai svarbu, kad gaisriniai gelbėjimo automobiliai ir kitos specialiosios paskirties transporto priemonės veiktų patikimai ir būtų saugios. Taigi visiškai susidėvėjusias transporto priemones būtina keisti naujomis arba, kiek įmanoma, atnaujinti europietiška, mažai naudota ir daug ekonomiškesne bei technologiškai daug pažangesne technika. </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 xml:space="preserve">8. 2006 m. rugpjūčio 4 d. nutarimu Nr. 784 Lietuvos Respublikos Vyriausybė patvirtino Gaisrinių gelbėjimo automobilių parko atnaujinimo valstybinėje priešgaisrinėje gelbėjimo tarnyboje ir savivaldybių priešgaisrinėse tarnybose programą. Įgyvendinus šią programą, per 2007–2011 m. </w:t>
      </w:r>
      <w:r>
        <w:rPr>
          <w:rFonts w:ascii="Times New Roman" w:hAnsi="Times New Roman" w:cs="Times New Roman"/>
          <w:sz w:val="24"/>
          <w:szCs w:val="24"/>
        </w:rPr>
        <w:lastRenderedPageBreak/>
        <w:t xml:space="preserve">valstybinėje priešgaisrinėje gelbėjimo tarnyboje už daugiau kaip 81 mln. Lt buvo atnaujinta 21 proc. gaisrinių gelbėjimo automobilių parko ir pakeista iki 17 procentų perduodant savivaldybių priešgaisrinėms tarnyboms dalį valstybinės priešgaisrinės gelbėjimo tarnybos gaisrinių automobilių, nebetinkamų gaisrams gesinti ir gelbėjimo darbams atlikti miestuose, bet tinkamų naudoti kaimo gyvenamosiose vietovėse. </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9. Programos galiojimo metu Rokiškio rajono savivaldybės priešgaisrinei tarnybai buvo pasiūlyta perimti visiškai susidėvėjusi gaisrinė autocisterna ZIL 130. Pasiūlymo buvo atsisakyta dėl blogo šio tipo automobilių pravažumo kaimo vietovėse ir didelio lėšų poreikio eksploatacijai atstatyti.</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10. Efektyvų gaisrų gesinimą ir gelbėjimą, geresnę žmonių apsaugą nuo žūties ir traumų kilus gaisrui ir ištikus kitam ekstremaliam įvykiui, mažesnius turto ir gamtos išteklių praradimus didele dalimi užtikrina pačių ugniagesių gelbėtojų aprūpinimas asmens apsaugos priemonėmis. Viena pagrindinių priemonių – suslėgto oro kvėpavimo takų ir veido apsaugos priemonė. Šios rūšies apsaugos priemones Rokiškio rajono savivaldybės priešgaisrinė tarnyba turi tik Obelių ir Pandėlio ugniagesių komandose. Todėl kyla sunkumų kitų ugniagesių komandų ugniagesiams gelbėtojams, pirmiesiems atvykus į incidento vietas (kaimo teritorijose beveik visada atvyksta pirmi), patekti į uždūmintas patalpas ir, nerizikuojant savo gyvybe ir sveikata, vykdyti žmonių ir turto gelbėjimo darbus.</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11. Šiuo metu galioja ydingi teisės aktai, kai savivaldybių priešgaisrinėms tarnyboms valstybės deleguotos lėšos skiriamos tik eksploatacinėms išlaidoms, o pagrindinėms priemonėms ir turtui įsigyti visiškai neskiriama. Esant tokiai sudėtingai situacijai</w:t>
      </w:r>
      <w:r w:rsidR="00BA1EE1">
        <w:rPr>
          <w:rFonts w:ascii="Times New Roman" w:hAnsi="Times New Roman" w:cs="Times New Roman"/>
          <w:sz w:val="24"/>
          <w:szCs w:val="24"/>
        </w:rPr>
        <w:t>,</w:t>
      </w:r>
      <w:r>
        <w:rPr>
          <w:rFonts w:ascii="Times New Roman" w:hAnsi="Times New Roman" w:cs="Times New Roman"/>
          <w:sz w:val="24"/>
          <w:szCs w:val="24"/>
        </w:rPr>
        <w:t xml:space="preserve"> be savivaldybės biudžeto lėšų pažanga šioje srityje neįmanoma.</w:t>
      </w:r>
    </w:p>
    <w:p w:rsidR="005F7B5C" w:rsidRDefault="005F7B5C">
      <w:pPr>
        <w:rPr>
          <w:rFonts w:ascii="Times New Roman" w:hAnsi="Times New Roman" w:cs="Times New Roman"/>
          <w:sz w:val="24"/>
          <w:szCs w:val="24"/>
        </w:rPr>
      </w:pPr>
    </w:p>
    <w:p w:rsidR="005F7B5C" w:rsidRDefault="005F7B5C">
      <w:pPr>
        <w:jc w:val="center"/>
        <w:rPr>
          <w:rFonts w:ascii="Times New Roman" w:hAnsi="Times New Roman" w:cs="Times New Roman"/>
          <w:b/>
          <w:bCs/>
          <w:sz w:val="24"/>
          <w:szCs w:val="24"/>
        </w:rPr>
      </w:pPr>
      <w:r>
        <w:rPr>
          <w:rFonts w:ascii="Times New Roman" w:hAnsi="Times New Roman" w:cs="Times New Roman"/>
          <w:b/>
          <w:bCs/>
          <w:sz w:val="24"/>
          <w:szCs w:val="24"/>
        </w:rPr>
        <w:t>III. PROGRAMOS TIKSLAS IR UŽDAVINIAI</w:t>
      </w:r>
    </w:p>
    <w:p w:rsidR="005F7B5C" w:rsidRDefault="005F7B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12. Šios Programos tikslas – kuo taupiau naudojant biudžeto lėšas pagerinti savivaldybės priešgaisrinės tarnybos gaisrinių automobilių parko būklę ir aprūpinti ugniagesius gelbėtojus šiuolaikinėmis apsaugos priemonėmis, taip užtikrinant deramą gyventojų ir turto gelbėjimą, pirminių gelbėjimo darbų atlikimą avarijų, katastrofų, stichinių nelaimių atvejais, gaisrų gesinimą.</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13. Siekiant įgyvendinti šios Programos tikslą, nustatomi tokie uždaviniai:</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13.1. įsigyti gaisrinių automobilinių cisternų, kurios pakeistų susidėvėjusias cisternas;</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13.2. mažinti gaisrinių gelbėjimo automobilių, neatitinkančių Europos Sąjungos teisės aktų nustatytų techninių reikalavimų, skaičių;</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13.3. aprūpinti visus tarnybos ugniagesius gelbėtojus asmeninėmis suslėgto oro kvėpavimo takų ir veido apsaugos priemonėmis.</w:t>
      </w:r>
    </w:p>
    <w:p w:rsidR="005F7B5C" w:rsidRDefault="005F7B5C">
      <w:pPr>
        <w:rPr>
          <w:rFonts w:ascii="Times New Roman" w:hAnsi="Times New Roman" w:cs="Times New Roman"/>
          <w:sz w:val="24"/>
          <w:szCs w:val="24"/>
        </w:rPr>
      </w:pPr>
      <w:r>
        <w:rPr>
          <w:rFonts w:ascii="Times New Roman" w:hAnsi="Times New Roman" w:cs="Times New Roman"/>
          <w:sz w:val="24"/>
          <w:szCs w:val="24"/>
        </w:rPr>
        <w:t> </w:t>
      </w:r>
    </w:p>
    <w:p w:rsidR="005F7B5C" w:rsidRDefault="005F7B5C">
      <w:pPr>
        <w:jc w:val="center"/>
        <w:rPr>
          <w:rFonts w:ascii="Times New Roman" w:hAnsi="Times New Roman" w:cs="Times New Roman"/>
          <w:b/>
          <w:bCs/>
          <w:sz w:val="24"/>
          <w:szCs w:val="24"/>
        </w:rPr>
      </w:pPr>
      <w:r>
        <w:rPr>
          <w:rFonts w:ascii="Times New Roman" w:hAnsi="Times New Roman" w:cs="Times New Roman"/>
          <w:b/>
          <w:bCs/>
          <w:sz w:val="24"/>
          <w:szCs w:val="24"/>
        </w:rPr>
        <w:t>IV. PROGRAMOS UŽDAVINIŲ VERTINIMO KRITERIJAI</w:t>
      </w:r>
    </w:p>
    <w:p w:rsidR="005F7B5C" w:rsidRDefault="005F7B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5F7B5C" w:rsidRDefault="005F7B5C" w:rsidP="00EA3C9B">
      <w:pPr>
        <w:ind w:firstLine="900"/>
        <w:jc w:val="both"/>
        <w:rPr>
          <w:rFonts w:ascii="Times New Roman" w:hAnsi="Times New Roman" w:cs="Times New Roman"/>
          <w:sz w:val="24"/>
          <w:szCs w:val="24"/>
        </w:rPr>
      </w:pPr>
      <w:r>
        <w:rPr>
          <w:rFonts w:ascii="Times New Roman" w:hAnsi="Times New Roman" w:cs="Times New Roman"/>
          <w:sz w:val="24"/>
          <w:szCs w:val="24"/>
        </w:rPr>
        <w:t>14. Šios Programos įgyvendinimas vertinamas periodiškai po kiekvienų jos įgyvendinimo metų ir galutinai – ją baigus vykdyti.</w:t>
      </w:r>
    </w:p>
    <w:p w:rsidR="005F7B5C" w:rsidRDefault="005F7B5C" w:rsidP="00EA3C9B">
      <w:pPr>
        <w:ind w:firstLine="900"/>
        <w:jc w:val="both"/>
        <w:rPr>
          <w:rFonts w:ascii="Times New Roman" w:hAnsi="Times New Roman" w:cs="Times New Roman"/>
          <w:sz w:val="24"/>
          <w:szCs w:val="24"/>
        </w:rPr>
      </w:pPr>
      <w:r>
        <w:rPr>
          <w:rFonts w:ascii="Times New Roman" w:hAnsi="Times New Roman" w:cs="Times New Roman"/>
          <w:sz w:val="24"/>
          <w:szCs w:val="24"/>
        </w:rPr>
        <w:t>15. Nustatomi tokie šios Programos uždavinių įgyvendinimo vertinimo kriterijai:</w:t>
      </w:r>
    </w:p>
    <w:p w:rsidR="005F7B5C" w:rsidRDefault="005F7B5C" w:rsidP="00EA3C9B">
      <w:pPr>
        <w:ind w:firstLine="900"/>
        <w:jc w:val="both"/>
        <w:rPr>
          <w:rFonts w:ascii="Times New Roman" w:hAnsi="Times New Roman" w:cs="Times New Roman"/>
          <w:sz w:val="24"/>
          <w:szCs w:val="24"/>
        </w:rPr>
      </w:pPr>
      <w:r>
        <w:rPr>
          <w:rFonts w:ascii="Times New Roman" w:hAnsi="Times New Roman" w:cs="Times New Roman"/>
          <w:sz w:val="24"/>
          <w:szCs w:val="24"/>
        </w:rPr>
        <w:t>15.1.savivaldybės priešgaisrinės tarnybos gaisrinių gelbėjimo automobilių parko struktūros pokytis pagal gaisrinių gelbėjimo automobilių naudojimo trukmės  rodiklius (procentais);</w:t>
      </w:r>
    </w:p>
    <w:p w:rsidR="005F7B5C" w:rsidRDefault="005F7B5C" w:rsidP="00EA3C9B">
      <w:pPr>
        <w:ind w:firstLine="900"/>
        <w:jc w:val="both"/>
        <w:rPr>
          <w:rFonts w:ascii="Times New Roman" w:hAnsi="Times New Roman" w:cs="Times New Roman"/>
          <w:sz w:val="24"/>
          <w:szCs w:val="24"/>
        </w:rPr>
      </w:pPr>
      <w:r>
        <w:rPr>
          <w:rFonts w:ascii="Times New Roman" w:hAnsi="Times New Roman" w:cs="Times New Roman"/>
          <w:sz w:val="24"/>
          <w:szCs w:val="24"/>
        </w:rPr>
        <w:t>15.2. savivaldybės priešgaisrinės tarnybos įsigytų gaisrinių gelbėjimo automobilių skaičius;</w:t>
      </w:r>
    </w:p>
    <w:p w:rsidR="005F7B5C" w:rsidRDefault="005F7B5C" w:rsidP="00EA3C9B">
      <w:pPr>
        <w:ind w:firstLine="900"/>
        <w:jc w:val="both"/>
        <w:rPr>
          <w:rFonts w:ascii="Times New Roman" w:hAnsi="Times New Roman" w:cs="Times New Roman"/>
          <w:sz w:val="24"/>
          <w:szCs w:val="24"/>
        </w:rPr>
      </w:pPr>
      <w:r>
        <w:rPr>
          <w:rFonts w:ascii="Times New Roman" w:hAnsi="Times New Roman" w:cs="Times New Roman"/>
          <w:sz w:val="24"/>
          <w:szCs w:val="24"/>
        </w:rPr>
        <w:t>15.3. savivaldybės priešgaisrinės tarnybos įsigytų asmeninių suslėgto oro kvėpavimo takų ir veido apsaugos priemonių skaičius.</w:t>
      </w:r>
    </w:p>
    <w:p w:rsidR="005F7B5C" w:rsidRDefault="005F7B5C">
      <w:pPr>
        <w:jc w:val="center"/>
        <w:rPr>
          <w:rFonts w:ascii="Times New Roman" w:hAnsi="Times New Roman" w:cs="Times New Roman"/>
          <w:b/>
          <w:bCs/>
          <w:sz w:val="24"/>
          <w:szCs w:val="24"/>
        </w:rPr>
      </w:pPr>
    </w:p>
    <w:p w:rsidR="005F7B5C" w:rsidRDefault="005F7B5C">
      <w:pPr>
        <w:jc w:val="center"/>
        <w:rPr>
          <w:rFonts w:ascii="Times New Roman" w:hAnsi="Times New Roman" w:cs="Times New Roman"/>
          <w:b/>
          <w:bCs/>
          <w:sz w:val="24"/>
          <w:szCs w:val="24"/>
        </w:rPr>
      </w:pPr>
      <w:r>
        <w:rPr>
          <w:rFonts w:ascii="Times New Roman" w:hAnsi="Times New Roman" w:cs="Times New Roman"/>
          <w:b/>
          <w:bCs/>
          <w:sz w:val="24"/>
          <w:szCs w:val="24"/>
        </w:rPr>
        <w:t>V. PROGRAMOS FINANSAVIMAS</w:t>
      </w:r>
    </w:p>
    <w:p w:rsidR="005F7B5C" w:rsidRDefault="005F7B5C">
      <w:pPr>
        <w:jc w:val="center"/>
        <w:rPr>
          <w:rFonts w:ascii="Times New Roman" w:hAnsi="Times New Roman" w:cs="Times New Roman"/>
          <w:b/>
          <w:bCs/>
          <w:sz w:val="24"/>
          <w:szCs w:val="24"/>
        </w:rPr>
      </w:pP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lastRenderedPageBreak/>
        <w:t>16. Lėšos šiai Programai įgyvendinti numatomos rengiant atitinkamų metų savivaldybės biudžeto finansinių rodiklių patvirtinimo projektą. Šiai Programai įgyvendinti gali būti naudojamos ir kitos įstatymų nustatyta tvarka gautos lėšos, esant galimybėms – Europos sąjungos atitinkamų projektų finansavimo lėšos.</w:t>
      </w:r>
    </w:p>
    <w:p w:rsidR="005F7B5C" w:rsidRDefault="005F7B5C">
      <w:pPr>
        <w:ind w:firstLine="900"/>
        <w:jc w:val="both"/>
        <w:rPr>
          <w:rFonts w:ascii="Times New Roman" w:hAnsi="Times New Roman" w:cs="Times New Roman"/>
          <w:sz w:val="24"/>
          <w:szCs w:val="24"/>
        </w:rPr>
      </w:pPr>
      <w:r>
        <w:rPr>
          <w:rFonts w:ascii="Times New Roman" w:hAnsi="Times New Roman" w:cs="Times New Roman"/>
          <w:sz w:val="24"/>
          <w:szCs w:val="24"/>
        </w:rPr>
        <w:t>17. Preliminarus lėšų poreikis šiai Programai įgyvendinti numatytas priede.</w:t>
      </w:r>
    </w:p>
    <w:p w:rsidR="005F7B5C" w:rsidRDefault="005F7B5C">
      <w:pPr>
        <w:rPr>
          <w:rFonts w:ascii="Times New Roman" w:hAnsi="Times New Roman" w:cs="Times New Roman"/>
          <w:sz w:val="24"/>
          <w:szCs w:val="24"/>
        </w:rPr>
      </w:pPr>
      <w:r>
        <w:rPr>
          <w:rFonts w:ascii="Times New Roman" w:hAnsi="Times New Roman" w:cs="Times New Roman"/>
          <w:sz w:val="24"/>
          <w:szCs w:val="24"/>
        </w:rPr>
        <w:t> </w:t>
      </w:r>
    </w:p>
    <w:p w:rsidR="005F7B5C" w:rsidRDefault="005F7B5C">
      <w:pPr>
        <w:jc w:val="center"/>
        <w:rPr>
          <w:rFonts w:ascii="Times New Roman" w:hAnsi="Times New Roman" w:cs="Times New Roman"/>
          <w:b/>
          <w:bCs/>
          <w:sz w:val="24"/>
          <w:szCs w:val="24"/>
        </w:rPr>
      </w:pPr>
      <w:r>
        <w:rPr>
          <w:rFonts w:ascii="Times New Roman" w:hAnsi="Times New Roman" w:cs="Times New Roman"/>
          <w:b/>
          <w:bCs/>
          <w:sz w:val="24"/>
          <w:szCs w:val="24"/>
        </w:rPr>
        <w:t>VI. PROGRAMOS ĮGYVENDINIMAS IR NUMATOMI REZULTATAI</w:t>
      </w:r>
    </w:p>
    <w:p w:rsidR="005F7B5C" w:rsidRDefault="005F7B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5F7B5C" w:rsidRDefault="005F7B5C" w:rsidP="00EA3C9B">
      <w:pPr>
        <w:ind w:firstLine="900"/>
        <w:jc w:val="both"/>
        <w:rPr>
          <w:rFonts w:ascii="Times New Roman" w:hAnsi="Times New Roman" w:cs="Times New Roman"/>
          <w:sz w:val="24"/>
          <w:szCs w:val="24"/>
        </w:rPr>
      </w:pPr>
      <w:r>
        <w:rPr>
          <w:rFonts w:ascii="Times New Roman" w:hAnsi="Times New Roman" w:cs="Times New Roman"/>
          <w:sz w:val="24"/>
          <w:szCs w:val="24"/>
        </w:rPr>
        <w:t>18. Ši Programa įgyvendinama pagal priede numatytas jos įgyvendinimo priemones.</w:t>
      </w:r>
    </w:p>
    <w:p w:rsidR="005F7B5C" w:rsidRDefault="005F7B5C" w:rsidP="00EA3C9B">
      <w:pPr>
        <w:ind w:firstLine="900"/>
        <w:jc w:val="both"/>
        <w:rPr>
          <w:rFonts w:ascii="Times New Roman" w:hAnsi="Times New Roman" w:cs="Times New Roman"/>
          <w:sz w:val="24"/>
          <w:szCs w:val="24"/>
        </w:rPr>
      </w:pPr>
      <w:r>
        <w:rPr>
          <w:rFonts w:ascii="Times New Roman" w:hAnsi="Times New Roman" w:cs="Times New Roman"/>
          <w:sz w:val="24"/>
          <w:szCs w:val="24"/>
        </w:rPr>
        <w:t>19. Šios Programos įgyvendinimą koordinuoja Rokiškio rajono savivaldybės Priešgaisrinės tarnybos veiklą kuruojantis asmuo (savivaldybės administracijos skyrius).</w:t>
      </w:r>
    </w:p>
    <w:p w:rsidR="005F7B5C" w:rsidRDefault="005F7B5C" w:rsidP="00EA3C9B">
      <w:pPr>
        <w:ind w:firstLine="900"/>
        <w:jc w:val="both"/>
        <w:rPr>
          <w:rFonts w:ascii="Times New Roman" w:hAnsi="Times New Roman" w:cs="Times New Roman"/>
          <w:sz w:val="24"/>
          <w:szCs w:val="24"/>
        </w:rPr>
      </w:pPr>
      <w:r>
        <w:rPr>
          <w:rFonts w:ascii="Times New Roman" w:hAnsi="Times New Roman" w:cs="Times New Roman"/>
          <w:sz w:val="24"/>
          <w:szCs w:val="24"/>
        </w:rPr>
        <w:t>20. Įgyvendinus šią Programą, numatoma:</w:t>
      </w:r>
    </w:p>
    <w:p w:rsidR="005F7B5C" w:rsidRDefault="005F7B5C" w:rsidP="00EA3C9B">
      <w:pPr>
        <w:ind w:firstLine="900"/>
        <w:jc w:val="both"/>
        <w:rPr>
          <w:rFonts w:ascii="Times New Roman" w:hAnsi="Times New Roman" w:cs="Times New Roman"/>
          <w:sz w:val="24"/>
          <w:szCs w:val="24"/>
        </w:rPr>
      </w:pPr>
      <w:r>
        <w:rPr>
          <w:rFonts w:ascii="Times New Roman" w:hAnsi="Times New Roman" w:cs="Times New Roman"/>
          <w:color w:val="000000"/>
          <w:sz w:val="24"/>
          <w:szCs w:val="24"/>
        </w:rPr>
        <w:t>20.1. atnaujinti lengvųjų automobilinių cisternų parką 31 procentu</w:t>
      </w:r>
      <w:r>
        <w:rPr>
          <w:rFonts w:ascii="Times New Roman" w:hAnsi="Times New Roman" w:cs="Times New Roman"/>
          <w:sz w:val="24"/>
          <w:szCs w:val="24"/>
        </w:rPr>
        <w:t>;</w:t>
      </w:r>
    </w:p>
    <w:p w:rsidR="005F7B5C" w:rsidRDefault="005F7B5C" w:rsidP="00EA3C9B">
      <w:pPr>
        <w:ind w:firstLine="900"/>
        <w:jc w:val="both"/>
        <w:rPr>
          <w:rFonts w:ascii="Times New Roman" w:hAnsi="Times New Roman" w:cs="Times New Roman"/>
          <w:sz w:val="24"/>
          <w:szCs w:val="24"/>
        </w:rPr>
      </w:pPr>
      <w:r>
        <w:rPr>
          <w:rFonts w:ascii="Times New Roman" w:hAnsi="Times New Roman" w:cs="Times New Roman"/>
          <w:sz w:val="24"/>
          <w:szCs w:val="24"/>
        </w:rPr>
        <w:t>20.2. sumažinti gaisrinių automobilinių cister</w:t>
      </w:r>
      <w:r w:rsidR="00F61B27">
        <w:rPr>
          <w:rFonts w:ascii="Times New Roman" w:hAnsi="Times New Roman" w:cs="Times New Roman"/>
          <w:sz w:val="24"/>
          <w:szCs w:val="24"/>
        </w:rPr>
        <w:t xml:space="preserve">nų, naudojamų viršijant 10 metų, </w:t>
      </w:r>
      <w:r>
        <w:rPr>
          <w:rFonts w:ascii="Times New Roman" w:hAnsi="Times New Roman" w:cs="Times New Roman"/>
          <w:sz w:val="24"/>
          <w:szCs w:val="24"/>
        </w:rPr>
        <w:t>eksploatavimo trukmę;</w:t>
      </w:r>
    </w:p>
    <w:p w:rsidR="005F7B5C" w:rsidRDefault="005F7B5C" w:rsidP="00EA3C9B">
      <w:pPr>
        <w:ind w:firstLine="900"/>
        <w:jc w:val="both"/>
        <w:rPr>
          <w:rFonts w:ascii="Times New Roman" w:hAnsi="Times New Roman" w:cs="Times New Roman"/>
          <w:sz w:val="24"/>
          <w:szCs w:val="24"/>
        </w:rPr>
      </w:pPr>
      <w:r>
        <w:rPr>
          <w:rFonts w:ascii="Times New Roman" w:hAnsi="Times New Roman" w:cs="Times New Roman"/>
          <w:sz w:val="24"/>
          <w:szCs w:val="24"/>
        </w:rPr>
        <w:t xml:space="preserve">20.3. aprūpinti 70 procentų ugniagesių gelbėtoju asmeninėmis apsaugos priemonėmis. </w:t>
      </w:r>
    </w:p>
    <w:p w:rsidR="005F7B5C" w:rsidRDefault="005F7B5C" w:rsidP="00EA3C9B">
      <w:pPr>
        <w:ind w:firstLine="900"/>
        <w:jc w:val="both"/>
        <w:rPr>
          <w:rFonts w:ascii="Times New Roman" w:hAnsi="Times New Roman" w:cs="Times New Roman"/>
          <w:sz w:val="24"/>
          <w:szCs w:val="24"/>
        </w:rPr>
      </w:pPr>
      <w:r>
        <w:rPr>
          <w:rFonts w:ascii="Times New Roman" w:hAnsi="Times New Roman" w:cs="Times New Roman"/>
          <w:sz w:val="24"/>
          <w:szCs w:val="24"/>
        </w:rPr>
        <w:t>21. Įgyvendinus šią Programą, būtų atnaujinta iki 31 procento priešgaisrinės tarnybos gaisrinių gelbėjimo automobilių parko, dėl ko sumažėtų remonto ir eksploatavimo išlaidos, taptų saugesnis nuvykimas iki incidento vietos ir sutrumpėtų jo laikas.</w:t>
      </w:r>
    </w:p>
    <w:p w:rsidR="005F7B5C" w:rsidRDefault="005F7B5C" w:rsidP="00EA3C9B">
      <w:pPr>
        <w:jc w:val="both"/>
        <w:rPr>
          <w:rFonts w:ascii="Times New Roman" w:hAnsi="Times New Roman" w:cs="Times New Roman"/>
          <w:sz w:val="24"/>
          <w:szCs w:val="24"/>
        </w:rPr>
      </w:pPr>
      <w:r>
        <w:rPr>
          <w:rFonts w:ascii="Times New Roman" w:hAnsi="Times New Roman" w:cs="Times New Roman"/>
          <w:sz w:val="24"/>
          <w:szCs w:val="24"/>
        </w:rPr>
        <w:t> </w:t>
      </w:r>
    </w:p>
    <w:p w:rsidR="005F7B5C" w:rsidRDefault="005F7B5C">
      <w:pPr>
        <w:jc w:val="center"/>
        <w:rPr>
          <w:rFonts w:ascii="Times New Roman" w:hAnsi="Times New Roman" w:cs="Times New Roman"/>
          <w:sz w:val="24"/>
          <w:szCs w:val="24"/>
        </w:rPr>
      </w:pPr>
      <w:r>
        <w:rPr>
          <w:rFonts w:ascii="Times New Roman" w:hAnsi="Times New Roman" w:cs="Times New Roman"/>
          <w:sz w:val="24"/>
          <w:szCs w:val="24"/>
        </w:rPr>
        <w:t>––––––––––––––––</w:t>
      </w:r>
    </w:p>
    <w:p w:rsidR="005F7B5C" w:rsidRDefault="005F7B5C">
      <w:pPr>
        <w:rPr>
          <w:rFonts w:ascii="Times New Roman" w:hAnsi="Times New Roman" w:cs="Times New Roman"/>
          <w:sz w:val="24"/>
          <w:szCs w:val="24"/>
        </w:rPr>
      </w:pPr>
      <w:r>
        <w:rPr>
          <w:rFonts w:ascii="Times New Roman" w:hAnsi="Times New Roman" w:cs="Times New Roman"/>
          <w:sz w:val="24"/>
          <w:szCs w:val="24"/>
        </w:rPr>
        <w:t> </w:t>
      </w:r>
    </w:p>
    <w:p w:rsidR="005F7B5C" w:rsidRDefault="005F7B5C">
      <w:pPr>
        <w:rPr>
          <w:rFonts w:ascii="Times New Roman" w:hAnsi="Times New Roman" w:cs="Times New Roman"/>
          <w:sz w:val="24"/>
          <w:szCs w:val="24"/>
        </w:rPr>
      </w:pPr>
    </w:p>
    <w:p w:rsidR="005F7B5C" w:rsidRDefault="005F7B5C">
      <w:pPr>
        <w:rPr>
          <w:rFonts w:ascii="Times New Roman" w:hAnsi="Times New Roman" w:cs="Times New Roman"/>
          <w:sz w:val="24"/>
          <w:szCs w:val="24"/>
        </w:rPr>
      </w:pPr>
    </w:p>
    <w:p w:rsidR="005F7B5C" w:rsidRDefault="005F7B5C">
      <w:pPr>
        <w:rPr>
          <w:rFonts w:ascii="Times New Roman" w:hAnsi="Times New Roman" w:cs="Times New Roman"/>
          <w:sz w:val="24"/>
          <w:szCs w:val="24"/>
        </w:rPr>
      </w:pPr>
    </w:p>
    <w:p w:rsidR="005F7B5C" w:rsidRDefault="005F7B5C">
      <w:pPr>
        <w:rPr>
          <w:rFonts w:ascii="Times New Roman" w:hAnsi="Times New Roman" w:cs="Times New Roman"/>
          <w:sz w:val="24"/>
          <w:szCs w:val="24"/>
        </w:rPr>
      </w:pPr>
    </w:p>
    <w:p w:rsidR="005F7B5C" w:rsidRPr="00642ABA" w:rsidRDefault="005F7B5C" w:rsidP="00642ABA">
      <w:pPr>
        <w:jc w:val="center"/>
        <w:rPr>
          <w:rFonts w:ascii="Times New Roman" w:hAnsi="Times New Roman" w:cs="Times New Roman"/>
          <w:b/>
          <w:bCs/>
          <w:sz w:val="24"/>
          <w:szCs w:val="24"/>
        </w:rPr>
      </w:pPr>
      <w:r>
        <w:rPr>
          <w:rFonts w:ascii="Times New Roman" w:hAnsi="Times New Roman" w:cs="Times New Roman"/>
          <w:sz w:val="24"/>
          <w:szCs w:val="24"/>
        </w:rPr>
        <w:br w:type="page"/>
      </w:r>
      <w:r w:rsidR="00642ABA" w:rsidRPr="00642ABA">
        <w:rPr>
          <w:rFonts w:ascii="Times New Roman" w:hAnsi="Times New Roman" w:cs="Times New Roman"/>
          <w:b/>
          <w:sz w:val="24"/>
          <w:szCs w:val="24"/>
        </w:rPr>
        <w:lastRenderedPageBreak/>
        <w:t>SPRENDIMO PROJEKTO ,,</w:t>
      </w:r>
      <w:r w:rsidR="00642ABA" w:rsidRPr="00642ABA">
        <w:rPr>
          <w:rFonts w:ascii="Times New Roman" w:hAnsi="Times New Roman" w:cs="Times New Roman"/>
          <w:b/>
          <w:bCs/>
          <w:sz w:val="24"/>
          <w:szCs w:val="24"/>
        </w:rPr>
        <w:t xml:space="preserve">DĖL GAISRINIŲ GELBĖJIMO AUTOMOBILIŲ PARKO IR GAISRINĖS GELBĖJIMO ĮRANGOS ATNAUJINIMO ROKIŠKIO RAJONO SAVIVALDYBĖS PRIEŠGAISRINĖJE TARNYBOJE 2018–2023 METŲ PROGRAMOS PATVIRTINIMO“ </w:t>
      </w:r>
      <w:r w:rsidRPr="00642ABA">
        <w:rPr>
          <w:rFonts w:ascii="Times New Roman" w:hAnsi="Times New Roman" w:cs="Times New Roman"/>
          <w:b/>
          <w:bCs/>
          <w:sz w:val="24"/>
          <w:szCs w:val="24"/>
        </w:rPr>
        <w:t>AIŠKINAMASIS RAŠTAS</w:t>
      </w:r>
    </w:p>
    <w:p w:rsidR="005F7B5C" w:rsidRDefault="005F7B5C" w:rsidP="00681929">
      <w:pPr>
        <w:rPr>
          <w:rFonts w:ascii="Times New Roman" w:hAnsi="Times New Roman" w:cs="Times New Roman"/>
          <w:b/>
          <w:bCs/>
          <w:sz w:val="24"/>
          <w:szCs w:val="24"/>
        </w:rPr>
      </w:pPr>
    </w:p>
    <w:p w:rsidR="005F7B5C" w:rsidRPr="00F61B27" w:rsidRDefault="005F7B5C" w:rsidP="000E4C03">
      <w:pPr>
        <w:ind w:firstLine="720"/>
        <w:jc w:val="both"/>
        <w:rPr>
          <w:rFonts w:ascii="Times New Roman" w:hAnsi="Times New Roman" w:cs="Times New Roman"/>
          <w:b/>
          <w:bCs/>
          <w:sz w:val="24"/>
          <w:szCs w:val="24"/>
        </w:rPr>
      </w:pPr>
      <w:r w:rsidRPr="008D4FDE">
        <w:rPr>
          <w:rFonts w:ascii="Times New Roman" w:hAnsi="Times New Roman" w:cs="Times New Roman"/>
          <w:b/>
          <w:bCs/>
          <w:sz w:val="24"/>
          <w:szCs w:val="24"/>
        </w:rPr>
        <w:t xml:space="preserve">Parengto sprendimo projekto tikslai ir uždaviniai. </w:t>
      </w:r>
      <w:r>
        <w:rPr>
          <w:rFonts w:ascii="Times New Roman" w:hAnsi="Times New Roman" w:cs="Times New Roman"/>
          <w:sz w:val="24"/>
          <w:szCs w:val="24"/>
        </w:rPr>
        <w:t>Šios Programos tikslas – kuo taupiau naudojant biudžeto lėšas per 2018</w:t>
      </w:r>
      <w:r w:rsidR="00285527">
        <w:rPr>
          <w:rFonts w:ascii="Times New Roman" w:hAnsi="Times New Roman" w:cs="Times New Roman"/>
          <w:sz w:val="24"/>
          <w:szCs w:val="24"/>
        </w:rPr>
        <w:t>–</w:t>
      </w:r>
      <w:r w:rsidR="00506C3F">
        <w:rPr>
          <w:rFonts w:ascii="Times New Roman" w:hAnsi="Times New Roman" w:cs="Times New Roman"/>
          <w:sz w:val="24"/>
          <w:szCs w:val="24"/>
        </w:rPr>
        <w:t>2023</w:t>
      </w:r>
      <w:r>
        <w:rPr>
          <w:rFonts w:ascii="Times New Roman" w:hAnsi="Times New Roman" w:cs="Times New Roman"/>
          <w:sz w:val="24"/>
          <w:szCs w:val="24"/>
        </w:rPr>
        <w:t xml:space="preserve"> metų laikotarpį pagerinti savivaldybės priešgaisrinės tarnybos gaisrinių automobilių parko būklę ir aprūpinti ugniagesius gelbėtojus šiuolaikinėmis apsaugos priemonėmis, taip užtikrinant deramą gyventojų ir turto gelbėjimą, pirminių gelbėjimo darbų atlikimą avarijų, katastrofų, stichinių nelaimių atvejais, gaisrų gesinimą.</w:t>
      </w:r>
    </w:p>
    <w:p w:rsidR="005F7B5C" w:rsidRDefault="005F7B5C" w:rsidP="000E4C03">
      <w:pPr>
        <w:ind w:firstLine="720"/>
        <w:jc w:val="both"/>
        <w:rPr>
          <w:rFonts w:ascii="Times New Roman" w:hAnsi="Times New Roman" w:cs="Times New Roman"/>
          <w:sz w:val="24"/>
          <w:szCs w:val="24"/>
        </w:rPr>
      </w:pPr>
      <w:r>
        <w:rPr>
          <w:rFonts w:ascii="Times New Roman" w:hAnsi="Times New Roman" w:cs="Times New Roman"/>
          <w:sz w:val="24"/>
          <w:szCs w:val="24"/>
        </w:rPr>
        <w:t>Siekiant įgyvendinti šios Programos tikslą, nustatomi tokie uždaviniai:</w:t>
      </w:r>
    </w:p>
    <w:p w:rsidR="005F7B5C" w:rsidRDefault="005F7B5C" w:rsidP="000E4C03">
      <w:pPr>
        <w:ind w:firstLine="720"/>
        <w:jc w:val="both"/>
        <w:rPr>
          <w:rFonts w:ascii="Times New Roman" w:hAnsi="Times New Roman" w:cs="Times New Roman"/>
          <w:sz w:val="24"/>
          <w:szCs w:val="24"/>
        </w:rPr>
      </w:pPr>
      <w:r>
        <w:rPr>
          <w:rFonts w:ascii="Times New Roman" w:hAnsi="Times New Roman" w:cs="Times New Roman"/>
          <w:sz w:val="24"/>
          <w:szCs w:val="24"/>
        </w:rPr>
        <w:t>13.1. įsigyti gaisrinių automobilinių cisternų, kurios pakeistų susidėvėjusias cisternas;</w:t>
      </w:r>
    </w:p>
    <w:p w:rsidR="005F7B5C" w:rsidRDefault="005F7B5C" w:rsidP="000E4C03">
      <w:pPr>
        <w:ind w:firstLine="720"/>
        <w:jc w:val="both"/>
        <w:rPr>
          <w:rFonts w:ascii="Times New Roman" w:hAnsi="Times New Roman" w:cs="Times New Roman"/>
          <w:sz w:val="24"/>
          <w:szCs w:val="24"/>
        </w:rPr>
      </w:pPr>
      <w:r>
        <w:rPr>
          <w:rFonts w:ascii="Times New Roman" w:hAnsi="Times New Roman" w:cs="Times New Roman"/>
          <w:sz w:val="24"/>
          <w:szCs w:val="24"/>
        </w:rPr>
        <w:t>13.2. mažinti gaisrinių gelbėjimo automobilių, neatitinkančių Europos Sąjungos teisės aktų nustatytų techninių reikalavimų, skaičių;</w:t>
      </w:r>
    </w:p>
    <w:p w:rsidR="005F7B5C" w:rsidRDefault="005F7B5C" w:rsidP="000E4C03">
      <w:pPr>
        <w:ind w:firstLine="720"/>
        <w:jc w:val="both"/>
        <w:rPr>
          <w:rFonts w:ascii="Times New Roman" w:hAnsi="Times New Roman" w:cs="Times New Roman"/>
          <w:sz w:val="24"/>
          <w:szCs w:val="24"/>
        </w:rPr>
      </w:pPr>
      <w:r>
        <w:rPr>
          <w:rFonts w:ascii="Times New Roman" w:hAnsi="Times New Roman" w:cs="Times New Roman"/>
          <w:sz w:val="24"/>
          <w:szCs w:val="24"/>
        </w:rPr>
        <w:t>13.3. aprūpinti visus tarnybos ugniagesius gelbėtojus asmeninėmis suslėgto oro kvėpavimo takų ir veido apsaugos priemonėmis.</w:t>
      </w:r>
    </w:p>
    <w:p w:rsidR="005F7B5C" w:rsidRDefault="005F7B5C" w:rsidP="000E4C03">
      <w:pPr>
        <w:ind w:firstLine="720"/>
        <w:jc w:val="both"/>
        <w:rPr>
          <w:rFonts w:ascii="Times New Roman" w:hAnsi="Times New Roman" w:cs="Times New Roman"/>
          <w:sz w:val="24"/>
          <w:szCs w:val="24"/>
        </w:rPr>
      </w:pPr>
      <w:r>
        <w:rPr>
          <w:rFonts w:ascii="Times New Roman" w:hAnsi="Times New Roman" w:cs="Times New Roman"/>
          <w:b/>
          <w:bCs/>
          <w:sz w:val="24"/>
          <w:szCs w:val="24"/>
        </w:rPr>
        <w:t>Šiuo metu esantis teisinis reglamentavimas.</w:t>
      </w:r>
      <w:r w:rsidR="00285527">
        <w:rPr>
          <w:rFonts w:ascii="Times New Roman" w:hAnsi="Times New Roman" w:cs="Times New Roman"/>
          <w:b/>
          <w:bCs/>
          <w:sz w:val="24"/>
          <w:szCs w:val="24"/>
        </w:rPr>
        <w:t xml:space="preserve"> </w:t>
      </w:r>
      <w:r>
        <w:rPr>
          <w:rFonts w:ascii="Times New Roman" w:hAnsi="Times New Roman" w:cs="Times New Roman"/>
          <w:sz w:val="24"/>
          <w:szCs w:val="24"/>
        </w:rPr>
        <w:t>Lietuvos Respublikos vietos savivaldos įstatymas 16 straipsnio 2 dalies 40 punktas.</w:t>
      </w:r>
    </w:p>
    <w:p w:rsidR="005F7B5C" w:rsidRDefault="005F7B5C" w:rsidP="000E4C03">
      <w:pPr>
        <w:ind w:firstLine="720"/>
        <w:jc w:val="both"/>
        <w:rPr>
          <w:rFonts w:ascii="Times New Roman" w:hAnsi="Times New Roman" w:cs="Times New Roman"/>
          <w:sz w:val="24"/>
          <w:szCs w:val="24"/>
        </w:rPr>
      </w:pPr>
      <w:r>
        <w:rPr>
          <w:rFonts w:ascii="Times New Roman" w:hAnsi="Times New Roman" w:cs="Times New Roman"/>
          <w:b/>
          <w:bCs/>
          <w:sz w:val="24"/>
          <w:szCs w:val="24"/>
        </w:rPr>
        <w:t>Sprendimo problemos esmė.</w:t>
      </w:r>
      <w:r w:rsidR="00285527">
        <w:rPr>
          <w:rFonts w:ascii="Times New Roman" w:hAnsi="Times New Roman" w:cs="Times New Roman"/>
          <w:b/>
          <w:bCs/>
          <w:sz w:val="24"/>
          <w:szCs w:val="24"/>
        </w:rPr>
        <w:t xml:space="preserve"> </w:t>
      </w:r>
      <w:r>
        <w:rPr>
          <w:rFonts w:ascii="Times New Roman" w:hAnsi="Times New Roman" w:cs="Times New Roman"/>
          <w:sz w:val="24"/>
          <w:szCs w:val="24"/>
        </w:rPr>
        <w:t>Gaisrinių gelbėjimo automobilių parko ir gaisrinės gelbėjimo įrangos atnaujinimo Rokiškio rajono savivaldybės priešgaisrinėje tarnybos programos paskirtis – gerinti savivaldybės priešgaisrinės tarnybos aprūpinimą techninėmis priemonėmis, kurios užtikrintų efektyvesnį gaisrų gesinimą ir gelbėjimą, leistų geriau apsaugoti žmones nuo žūties ir traumų kilus gaisrui ir ištikus kitam ekstremaliam įvykiui, prarasti mažiau turto ir gamtos išteklių. Nuo to, kokiomis techninėmis priemonėmis aprūpinta savivaldybės priešgaisrinė tarnyba, priklauso ir jos darbo sėkmė – kiek išgelbėta žmonių gyvybių, išsaugota turto, gamtos išteklių.</w:t>
      </w:r>
    </w:p>
    <w:p w:rsidR="005F7B5C" w:rsidRDefault="005F7B5C" w:rsidP="000E4C03">
      <w:pPr>
        <w:ind w:firstLine="720"/>
        <w:jc w:val="both"/>
        <w:rPr>
          <w:rFonts w:ascii="Times New Roman" w:hAnsi="Times New Roman" w:cs="Times New Roman"/>
          <w:sz w:val="24"/>
          <w:szCs w:val="24"/>
        </w:rPr>
      </w:pPr>
      <w:r>
        <w:rPr>
          <w:rFonts w:ascii="Times New Roman" w:hAnsi="Times New Roman" w:cs="Times New Roman"/>
          <w:sz w:val="24"/>
          <w:szCs w:val="24"/>
        </w:rPr>
        <w:t xml:space="preserve">Savivaldybės priešgaisrinėje tarnyboje gaisrinių gelbėjimo automobilių parko sudėtinė struktūra nėra optimali. Automobiliai sensta ypač greitai, jų patikimumas mažėja. Automobilių </w:t>
      </w:r>
      <w:r w:rsidR="00285527">
        <w:rPr>
          <w:rFonts w:ascii="Times New Roman" w:hAnsi="Times New Roman" w:cs="Times New Roman"/>
          <w:sz w:val="24"/>
          <w:szCs w:val="24"/>
        </w:rPr>
        <w:t xml:space="preserve">pagaminimo </w:t>
      </w:r>
      <w:r>
        <w:rPr>
          <w:rFonts w:ascii="Times New Roman" w:hAnsi="Times New Roman" w:cs="Times New Roman"/>
          <w:sz w:val="24"/>
          <w:szCs w:val="24"/>
        </w:rPr>
        <w:t>vidurkis – 32 metai</w:t>
      </w:r>
      <w:r w:rsidR="00285527">
        <w:rPr>
          <w:rFonts w:ascii="Times New Roman" w:hAnsi="Times New Roman" w:cs="Times New Roman"/>
          <w:sz w:val="24"/>
          <w:szCs w:val="24"/>
        </w:rPr>
        <w:t xml:space="preserve"> </w:t>
      </w:r>
      <w:r>
        <w:rPr>
          <w:rFonts w:ascii="Times New Roman" w:hAnsi="Times New Roman" w:cs="Times New Roman"/>
          <w:sz w:val="24"/>
          <w:szCs w:val="24"/>
        </w:rPr>
        <w:t>(t.</w:t>
      </w:r>
      <w:r w:rsidR="00285527">
        <w:rPr>
          <w:rFonts w:ascii="Times New Roman" w:hAnsi="Times New Roman" w:cs="Times New Roman"/>
          <w:sz w:val="24"/>
          <w:szCs w:val="24"/>
        </w:rPr>
        <w:t xml:space="preserve"> </w:t>
      </w:r>
      <w:r>
        <w:rPr>
          <w:rFonts w:ascii="Times New Roman" w:hAnsi="Times New Roman" w:cs="Times New Roman"/>
          <w:sz w:val="24"/>
          <w:szCs w:val="24"/>
        </w:rPr>
        <w:t>y. didesnis už amortizacijos normatyvą), kai gamintojai rekomenduoja eksploatuoti ne ilgiau 10 metų. Šie automobiliai nei patikimi, nei ilgaamžiai. Taigi visiškai susidėvėjusias transporto priemones būtina keisti naujomis arba</w:t>
      </w:r>
      <w:r w:rsidR="00285527">
        <w:rPr>
          <w:rFonts w:ascii="Times New Roman" w:hAnsi="Times New Roman" w:cs="Times New Roman"/>
          <w:sz w:val="24"/>
          <w:szCs w:val="24"/>
        </w:rPr>
        <w:t xml:space="preserve">, </w:t>
      </w:r>
      <w:r>
        <w:rPr>
          <w:rFonts w:ascii="Times New Roman" w:hAnsi="Times New Roman" w:cs="Times New Roman"/>
          <w:sz w:val="24"/>
          <w:szCs w:val="24"/>
        </w:rPr>
        <w:t>kiek įmanoma</w:t>
      </w:r>
      <w:r w:rsidR="00285527">
        <w:rPr>
          <w:rFonts w:ascii="Times New Roman" w:hAnsi="Times New Roman" w:cs="Times New Roman"/>
          <w:sz w:val="24"/>
          <w:szCs w:val="24"/>
        </w:rPr>
        <w:t xml:space="preserve">, </w:t>
      </w:r>
      <w:r>
        <w:rPr>
          <w:rFonts w:ascii="Times New Roman" w:hAnsi="Times New Roman" w:cs="Times New Roman"/>
          <w:sz w:val="24"/>
          <w:szCs w:val="24"/>
        </w:rPr>
        <w:t xml:space="preserve">atnaujinti europietiška, mažai dėvėta ir daug ekonomiškesne, bei technologiškai daug pažangesne technika. </w:t>
      </w:r>
    </w:p>
    <w:p w:rsidR="005F7B5C" w:rsidRDefault="005F7B5C" w:rsidP="000E4C03">
      <w:pPr>
        <w:ind w:firstLine="720"/>
        <w:jc w:val="both"/>
        <w:rPr>
          <w:rFonts w:ascii="Times New Roman" w:hAnsi="Times New Roman" w:cs="Times New Roman"/>
          <w:sz w:val="24"/>
          <w:szCs w:val="24"/>
        </w:rPr>
      </w:pPr>
      <w:r>
        <w:rPr>
          <w:rFonts w:ascii="Times New Roman" w:hAnsi="Times New Roman" w:cs="Times New Roman"/>
          <w:sz w:val="24"/>
          <w:szCs w:val="24"/>
        </w:rPr>
        <w:t>Efektyvų gaisrų gesinimą ir gelbėjimą, geresnę žmonių apsaugą nuo žūties ir traumų kilus gaisrui ir ištikus kitam ekstremaliam įvykiui, mažesnius turto ir gamtos išteklių praradimus didele dalimi užtikrina pačių ugniagesių gelbėtojų aprūpinimas asmens apsaugos priemonėmis. Viena pagrindinių priemonių – suslėgto oro kvėpavimo takų ir veido apsaugos priemonė. Šios rūšies apsaugos priemonių Rokiškio rajono savivaldybės priešgaisrinė tarnyba turi tik Obelių ir Pandėlio ugniagesių komandose. Todėl kyla sunkumų kitų 7 ugniagesių komandų ugniagesiams gelbėtojams, pirmiesiems atvykus į incidento vietas (kaimo teritorijose beveik visada atvyksta pirmi), patekti į uždūmintas patalpas ir, nerizikuojant savo gyvybe ir sveikata, vykdyti žmonių ir turto gelbėjimo darbus.</w:t>
      </w:r>
    </w:p>
    <w:p w:rsidR="005F7B5C" w:rsidRDefault="005F7B5C" w:rsidP="000E4C03">
      <w:pPr>
        <w:ind w:firstLine="720"/>
        <w:jc w:val="both"/>
        <w:rPr>
          <w:rFonts w:ascii="Times New Roman" w:hAnsi="Times New Roman" w:cs="Times New Roman"/>
          <w:sz w:val="24"/>
          <w:szCs w:val="24"/>
        </w:rPr>
      </w:pPr>
      <w:r>
        <w:rPr>
          <w:rFonts w:ascii="Times New Roman" w:hAnsi="Times New Roman" w:cs="Times New Roman"/>
          <w:sz w:val="24"/>
          <w:szCs w:val="24"/>
        </w:rPr>
        <w:t>Tačiau šiuo metu galioja ydingi teisės aktai, kai savivaldybių priešgaisrinėms tarnyboms valstybės deleguotos lėšos skiriamos tik eksploatacinėms išlaidoms, o pagrindinėms priemonėms ir turtui įsigyti visiškai neskiriama. Esant tokiai sudėtingai situacijai, be savivaldybės biudžeto lėšų, pažanga šioje  srityje neįmanoma.</w:t>
      </w:r>
    </w:p>
    <w:p w:rsidR="005F7B5C" w:rsidRPr="009D50BB" w:rsidRDefault="005F7B5C" w:rsidP="000E4C03">
      <w:pPr>
        <w:ind w:firstLine="720"/>
        <w:jc w:val="both"/>
        <w:rPr>
          <w:rFonts w:ascii="Times New Roman" w:hAnsi="Times New Roman" w:cs="Times New Roman"/>
          <w:b/>
          <w:bCs/>
          <w:sz w:val="24"/>
          <w:szCs w:val="24"/>
        </w:rPr>
      </w:pPr>
      <w:r w:rsidRPr="009D50BB">
        <w:rPr>
          <w:rFonts w:ascii="Times New Roman" w:hAnsi="Times New Roman" w:cs="Times New Roman"/>
          <w:b/>
          <w:bCs/>
          <w:sz w:val="24"/>
          <w:szCs w:val="24"/>
        </w:rPr>
        <w:t>Galimos pasekmės, priėmus siūlomą tarybos sprendimo projektą:</w:t>
      </w:r>
    </w:p>
    <w:p w:rsidR="005F7B5C" w:rsidRPr="00E04C50" w:rsidRDefault="00285527" w:rsidP="000E4C03">
      <w:pPr>
        <w:ind w:firstLine="720"/>
        <w:jc w:val="both"/>
        <w:rPr>
          <w:rFonts w:ascii="Times New Roman" w:hAnsi="Times New Roman" w:cs="Times New Roman"/>
          <w:b/>
          <w:bCs/>
          <w:sz w:val="24"/>
          <w:szCs w:val="24"/>
        </w:rPr>
      </w:pPr>
      <w:r>
        <w:rPr>
          <w:rFonts w:ascii="Times New Roman" w:hAnsi="Times New Roman" w:cs="Times New Roman"/>
          <w:b/>
          <w:bCs/>
          <w:sz w:val="24"/>
          <w:szCs w:val="24"/>
        </w:rPr>
        <w:t>t</w:t>
      </w:r>
      <w:r w:rsidR="005F7B5C" w:rsidRPr="00E04C50">
        <w:rPr>
          <w:rFonts w:ascii="Times New Roman" w:hAnsi="Times New Roman" w:cs="Times New Roman"/>
          <w:b/>
          <w:bCs/>
          <w:sz w:val="24"/>
          <w:szCs w:val="24"/>
        </w:rPr>
        <w:t>eigiamos</w:t>
      </w:r>
      <w:r>
        <w:rPr>
          <w:rFonts w:ascii="Times New Roman" w:hAnsi="Times New Roman" w:cs="Times New Roman"/>
          <w:b/>
          <w:bCs/>
          <w:sz w:val="24"/>
          <w:szCs w:val="24"/>
        </w:rPr>
        <w:t>:</w:t>
      </w:r>
    </w:p>
    <w:p w:rsidR="005F7B5C" w:rsidRDefault="005F7B5C" w:rsidP="000E4C03">
      <w:pPr>
        <w:ind w:firstLine="720"/>
        <w:jc w:val="both"/>
        <w:rPr>
          <w:rFonts w:ascii="Times New Roman" w:hAnsi="Times New Roman" w:cs="Times New Roman"/>
          <w:sz w:val="24"/>
          <w:szCs w:val="24"/>
        </w:rPr>
      </w:pPr>
      <w:r>
        <w:rPr>
          <w:rFonts w:ascii="Times New Roman" w:hAnsi="Times New Roman" w:cs="Times New Roman"/>
          <w:sz w:val="24"/>
          <w:szCs w:val="24"/>
        </w:rPr>
        <w:t>Įgyvendinus šią Programą, bus:</w:t>
      </w:r>
    </w:p>
    <w:p w:rsidR="005F7B5C" w:rsidRDefault="005F7B5C" w:rsidP="000E4C03">
      <w:pPr>
        <w:ind w:firstLine="720"/>
        <w:jc w:val="both"/>
        <w:rPr>
          <w:rFonts w:ascii="Times New Roman" w:hAnsi="Times New Roman" w:cs="Times New Roman"/>
          <w:sz w:val="24"/>
          <w:szCs w:val="24"/>
        </w:rPr>
      </w:pPr>
      <w:r>
        <w:rPr>
          <w:rFonts w:ascii="Times New Roman" w:hAnsi="Times New Roman" w:cs="Times New Roman"/>
          <w:sz w:val="24"/>
          <w:szCs w:val="24"/>
        </w:rPr>
        <w:t>- atnaujinta iki 31 procento priešgaisrinės tarnybos gaisrinių gelbėjimo automobilių parko, dėl ko sumažės remonto ir eksploatavimo išlaidos, taip pat sumažės gaisrinių gelbėjimo automobilių, neatitinkančių Europos Sąjungos teisės aktų nustatytų techninių reikalavimų, skaičius;</w:t>
      </w:r>
    </w:p>
    <w:p w:rsidR="003D7AED" w:rsidRDefault="005F7B5C" w:rsidP="000E4C03">
      <w:pPr>
        <w:ind w:firstLine="720"/>
        <w:jc w:val="both"/>
        <w:rPr>
          <w:rFonts w:ascii="Times New Roman" w:hAnsi="Times New Roman" w:cs="Times New Roman"/>
          <w:sz w:val="24"/>
          <w:szCs w:val="24"/>
        </w:rPr>
      </w:pPr>
      <w:r>
        <w:rPr>
          <w:rFonts w:ascii="Times New Roman" w:hAnsi="Times New Roman" w:cs="Times New Roman"/>
          <w:sz w:val="24"/>
          <w:szCs w:val="24"/>
        </w:rPr>
        <w:t>- taps saugesnis nuvykimas iki incidento vietos ir sutrumpės jo laikas</w:t>
      </w:r>
      <w:r w:rsidR="00285527">
        <w:rPr>
          <w:rFonts w:ascii="Times New Roman" w:hAnsi="Times New Roman" w:cs="Times New Roman"/>
          <w:sz w:val="24"/>
          <w:szCs w:val="24"/>
        </w:rPr>
        <w:t>;</w:t>
      </w:r>
      <w:r>
        <w:rPr>
          <w:rFonts w:ascii="Times New Roman" w:hAnsi="Times New Roman" w:cs="Times New Roman"/>
          <w:sz w:val="24"/>
          <w:szCs w:val="24"/>
        </w:rPr>
        <w:t xml:space="preserve"> </w:t>
      </w:r>
    </w:p>
    <w:p w:rsidR="005F7B5C" w:rsidRDefault="005F7B5C" w:rsidP="000E4C03">
      <w:pPr>
        <w:ind w:firstLine="720"/>
        <w:jc w:val="both"/>
        <w:rPr>
          <w:rFonts w:ascii="Times New Roman" w:hAnsi="Times New Roman" w:cs="Times New Roman"/>
          <w:sz w:val="24"/>
          <w:szCs w:val="24"/>
        </w:rPr>
      </w:pPr>
      <w:r>
        <w:rPr>
          <w:rFonts w:ascii="Times New Roman" w:hAnsi="Times New Roman" w:cs="Times New Roman"/>
          <w:sz w:val="24"/>
          <w:szCs w:val="24"/>
        </w:rPr>
        <w:t>- bus aprūpinta 70 procentų ugniagesių gelbėtoju asmeninėmis apsaugos priemonėmis</w:t>
      </w:r>
      <w:r w:rsidR="00285527">
        <w:rPr>
          <w:rFonts w:ascii="Times New Roman" w:hAnsi="Times New Roman" w:cs="Times New Roman"/>
          <w:sz w:val="24"/>
          <w:szCs w:val="24"/>
        </w:rPr>
        <w:t>;</w:t>
      </w:r>
    </w:p>
    <w:p w:rsidR="005F7B5C" w:rsidRPr="00474DC8" w:rsidRDefault="00285527" w:rsidP="000E4C03">
      <w:pPr>
        <w:ind w:firstLine="720"/>
        <w:jc w:val="both"/>
        <w:rPr>
          <w:rFonts w:ascii="Times New Roman" w:hAnsi="Times New Roman" w:cs="Times New Roman"/>
          <w:sz w:val="24"/>
          <w:szCs w:val="24"/>
          <w:lang w:eastAsia="ar-SA"/>
        </w:rPr>
      </w:pPr>
      <w:r>
        <w:rPr>
          <w:rFonts w:ascii="Times New Roman" w:hAnsi="Times New Roman" w:cs="Times New Roman"/>
          <w:b/>
          <w:bCs/>
          <w:sz w:val="24"/>
          <w:szCs w:val="24"/>
        </w:rPr>
        <w:lastRenderedPageBreak/>
        <w:t>n</w:t>
      </w:r>
      <w:r w:rsidR="005F7B5C" w:rsidRPr="00474DC8">
        <w:rPr>
          <w:rFonts w:ascii="Times New Roman" w:hAnsi="Times New Roman" w:cs="Times New Roman"/>
          <w:b/>
          <w:bCs/>
          <w:sz w:val="24"/>
          <w:szCs w:val="24"/>
          <w:lang w:eastAsia="ar-SA"/>
        </w:rPr>
        <w:t>eigiamų</w:t>
      </w:r>
      <w:r w:rsidR="005F7B5C" w:rsidRPr="00474DC8">
        <w:rPr>
          <w:rFonts w:ascii="Times New Roman" w:hAnsi="Times New Roman" w:cs="Times New Roman"/>
          <w:sz w:val="24"/>
          <w:szCs w:val="24"/>
          <w:lang w:eastAsia="ar-SA"/>
        </w:rPr>
        <w:t xml:space="preserve"> pasekmių nėra.</w:t>
      </w:r>
    </w:p>
    <w:p w:rsidR="003D7AED" w:rsidRDefault="005F7B5C" w:rsidP="003D7AED">
      <w:pPr>
        <w:ind w:firstLine="720"/>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Kokia sprendimo nauda Rokiškio rajono gyventojams.</w:t>
      </w:r>
      <w:r w:rsidR="00285527">
        <w:rPr>
          <w:rFonts w:ascii="Times New Roman" w:hAnsi="Times New Roman" w:cs="Times New Roman"/>
          <w:b/>
          <w:bCs/>
          <w:sz w:val="24"/>
          <w:szCs w:val="24"/>
        </w:rPr>
        <w:t xml:space="preserve"> </w:t>
      </w:r>
      <w:r w:rsidRPr="000E4C03">
        <w:rPr>
          <w:rFonts w:ascii="Times New Roman" w:hAnsi="Times New Roman" w:cs="Times New Roman"/>
          <w:sz w:val="24"/>
          <w:szCs w:val="24"/>
        </w:rPr>
        <w:t xml:space="preserve">Geresnis </w:t>
      </w:r>
      <w:r>
        <w:rPr>
          <w:rFonts w:ascii="Times New Roman" w:hAnsi="Times New Roman" w:cs="Times New Roman"/>
          <w:sz w:val="24"/>
          <w:szCs w:val="24"/>
        </w:rPr>
        <w:t>savivaldybės priešgaisrinės tarnybos aprūpinimas techninėmis priemonėmis užtikrins efektyvesnį gaisrų gesinimą ir gelbėjimą</w:t>
      </w:r>
      <w:r w:rsidR="003D7AED">
        <w:rPr>
          <w:rFonts w:ascii="Times New Roman" w:hAnsi="Times New Roman" w:cs="Times New Roman"/>
          <w:sz w:val="24"/>
          <w:szCs w:val="24"/>
        </w:rPr>
        <w:t xml:space="preserve"> Rokiškio rajone</w:t>
      </w:r>
      <w:r>
        <w:rPr>
          <w:rFonts w:ascii="Times New Roman" w:hAnsi="Times New Roman" w:cs="Times New Roman"/>
          <w:sz w:val="24"/>
          <w:szCs w:val="24"/>
        </w:rPr>
        <w:t xml:space="preserve">, leis geriau apsaugoti </w:t>
      </w:r>
      <w:r w:rsidR="00D821B3">
        <w:rPr>
          <w:rFonts w:ascii="Times New Roman" w:hAnsi="Times New Roman" w:cs="Times New Roman"/>
          <w:sz w:val="24"/>
          <w:szCs w:val="24"/>
        </w:rPr>
        <w:t xml:space="preserve">rajono </w:t>
      </w:r>
      <w:r>
        <w:rPr>
          <w:rFonts w:ascii="Times New Roman" w:hAnsi="Times New Roman" w:cs="Times New Roman"/>
          <w:sz w:val="24"/>
          <w:szCs w:val="24"/>
        </w:rPr>
        <w:t xml:space="preserve">žmones nuo žūties ir traumų kilus gaisrui ir ištikus kitam ekstremaliam įvykiui, bus prarandama mažiau turto ir gamtos išteklių. </w:t>
      </w:r>
      <w:r w:rsidR="003D7AED" w:rsidRPr="00090D80">
        <w:rPr>
          <w:rFonts w:ascii="Times New Roman" w:hAnsi="Times New Roman" w:cs="Times New Roman"/>
          <w:sz w:val="24"/>
          <w:szCs w:val="24"/>
        </w:rPr>
        <w:t xml:space="preserve">Automobilių parko atnaujinimas yra būtinybė </w:t>
      </w:r>
      <w:r w:rsidR="003D7AED" w:rsidRPr="00090D80">
        <w:rPr>
          <w:rFonts w:ascii="Times New Roman" w:hAnsi="Times New Roman" w:cs="Times New Roman"/>
          <w:sz w:val="24"/>
          <w:szCs w:val="24"/>
          <w:shd w:val="clear" w:color="auto" w:fill="FFFFFF"/>
        </w:rPr>
        <w:t>norint efektyviai ir laiku suteikti pagalbą, užtikrinti</w:t>
      </w:r>
      <w:r w:rsidR="00D821B3">
        <w:rPr>
          <w:rFonts w:ascii="Times New Roman" w:hAnsi="Times New Roman" w:cs="Times New Roman"/>
          <w:sz w:val="24"/>
          <w:szCs w:val="24"/>
          <w:shd w:val="clear" w:color="auto" w:fill="FFFFFF"/>
        </w:rPr>
        <w:t xml:space="preserve"> rajono</w:t>
      </w:r>
      <w:r w:rsidR="003D7AED" w:rsidRPr="00090D80">
        <w:rPr>
          <w:rFonts w:ascii="Times New Roman" w:hAnsi="Times New Roman" w:cs="Times New Roman"/>
          <w:sz w:val="24"/>
          <w:szCs w:val="24"/>
          <w:shd w:val="clear" w:color="auto" w:fill="FFFFFF"/>
        </w:rPr>
        <w:t xml:space="preserve"> </w:t>
      </w:r>
      <w:r w:rsidR="003D7AED">
        <w:rPr>
          <w:rFonts w:ascii="Times New Roman" w:hAnsi="Times New Roman" w:cs="Times New Roman"/>
          <w:sz w:val="24"/>
          <w:szCs w:val="24"/>
          <w:shd w:val="clear" w:color="auto" w:fill="FFFFFF"/>
        </w:rPr>
        <w:t>gyventojų</w:t>
      </w:r>
      <w:r w:rsidR="003D7AED" w:rsidRPr="00090D80">
        <w:rPr>
          <w:rFonts w:ascii="Times New Roman" w:hAnsi="Times New Roman" w:cs="Times New Roman"/>
          <w:sz w:val="24"/>
          <w:szCs w:val="24"/>
          <w:shd w:val="clear" w:color="auto" w:fill="FFFFFF"/>
        </w:rPr>
        <w:t xml:space="preserve"> saugumą ir teikti kokybiškesnes paslaugas. </w:t>
      </w:r>
      <w:r>
        <w:rPr>
          <w:rFonts w:ascii="Times New Roman" w:hAnsi="Times New Roman" w:cs="Times New Roman"/>
          <w:sz w:val="24"/>
          <w:szCs w:val="24"/>
        </w:rPr>
        <w:t>Nuo to, kokiomis techninėmis priemonėmis aprūpinta savivaldybės priešgaisrinė tarnyba, priklauso ir jos darbo sėkmė – kiek išgelbėta žmonių gyvybių, išsaugota turto, gamtos išteklių.</w:t>
      </w:r>
      <w:r w:rsidR="003D7AED" w:rsidRPr="003D7AED">
        <w:rPr>
          <w:rFonts w:ascii="Times New Roman" w:hAnsi="Times New Roman" w:cs="Times New Roman"/>
          <w:sz w:val="24"/>
          <w:szCs w:val="24"/>
        </w:rPr>
        <w:t xml:space="preserve"> </w:t>
      </w:r>
    </w:p>
    <w:p w:rsidR="005F7B5C" w:rsidRDefault="005F7B5C" w:rsidP="000E4C03">
      <w:pPr>
        <w:ind w:firstLine="720"/>
        <w:jc w:val="both"/>
        <w:rPr>
          <w:rFonts w:ascii="Times New Roman" w:hAnsi="Times New Roman" w:cs="Times New Roman"/>
          <w:b/>
          <w:bCs/>
          <w:sz w:val="24"/>
          <w:szCs w:val="24"/>
        </w:rPr>
      </w:pPr>
      <w:r w:rsidRPr="00E04C50">
        <w:rPr>
          <w:rFonts w:ascii="Times New Roman" w:hAnsi="Times New Roman" w:cs="Times New Roman"/>
          <w:b/>
          <w:bCs/>
          <w:sz w:val="24"/>
          <w:szCs w:val="24"/>
        </w:rPr>
        <w:t>Finansavimo šaltiniai ir lėšų poreikis</w:t>
      </w:r>
      <w:r>
        <w:rPr>
          <w:rFonts w:ascii="Times New Roman" w:hAnsi="Times New Roman" w:cs="Times New Roman"/>
          <w:b/>
          <w:bCs/>
          <w:sz w:val="24"/>
          <w:szCs w:val="24"/>
        </w:rPr>
        <w:t>.</w:t>
      </w:r>
    </w:p>
    <w:p w:rsidR="005F7B5C" w:rsidRDefault="005F7B5C" w:rsidP="000E4C03">
      <w:pPr>
        <w:ind w:firstLine="720"/>
        <w:jc w:val="both"/>
        <w:rPr>
          <w:rFonts w:ascii="Times New Roman" w:hAnsi="Times New Roman" w:cs="Times New Roman"/>
          <w:sz w:val="24"/>
          <w:szCs w:val="24"/>
        </w:rPr>
      </w:pPr>
      <w:r>
        <w:rPr>
          <w:rFonts w:ascii="Times New Roman" w:hAnsi="Times New Roman" w:cs="Times New Roman"/>
          <w:sz w:val="24"/>
          <w:szCs w:val="24"/>
        </w:rPr>
        <w:t>Savivaldybės biudžeto lėšos (savarankiška funkcija)</w:t>
      </w:r>
      <w:r w:rsidR="00285527">
        <w:rPr>
          <w:rFonts w:ascii="Times New Roman" w:hAnsi="Times New Roman" w:cs="Times New Roman"/>
          <w:sz w:val="24"/>
          <w:szCs w:val="24"/>
        </w:rPr>
        <w:t xml:space="preserve"> – </w:t>
      </w:r>
      <w:r>
        <w:rPr>
          <w:rFonts w:ascii="Times New Roman" w:hAnsi="Times New Roman" w:cs="Times New Roman"/>
          <w:sz w:val="24"/>
          <w:szCs w:val="24"/>
        </w:rPr>
        <w:t>199,00 tūkst. Eur. Preliminarus lėšų poreikis pateiktas programos priede.</w:t>
      </w:r>
    </w:p>
    <w:p w:rsidR="005F7B5C" w:rsidRDefault="005F7B5C" w:rsidP="000E4C03">
      <w:pPr>
        <w:ind w:firstLine="720"/>
        <w:jc w:val="both"/>
        <w:rPr>
          <w:rFonts w:ascii="Times New Roman" w:hAnsi="Times New Roman" w:cs="Times New Roman"/>
          <w:b/>
          <w:bCs/>
          <w:sz w:val="24"/>
          <w:szCs w:val="24"/>
        </w:rPr>
      </w:pPr>
      <w:r>
        <w:rPr>
          <w:rFonts w:ascii="Times New Roman" w:hAnsi="Times New Roman" w:cs="Times New Roman"/>
          <w:b/>
          <w:bCs/>
          <w:sz w:val="24"/>
          <w:szCs w:val="24"/>
        </w:rPr>
        <w:t>Suderinamumas su Lietuvos Respublikos galiojančiais teisės norminiais aktais</w:t>
      </w:r>
    </w:p>
    <w:p w:rsidR="005F7B5C" w:rsidRPr="00474DC8" w:rsidRDefault="005F7B5C" w:rsidP="000E4C03">
      <w:pPr>
        <w:ind w:firstLine="720"/>
        <w:jc w:val="both"/>
        <w:rPr>
          <w:rFonts w:ascii="Times New Roman" w:hAnsi="Times New Roman" w:cs="Times New Roman"/>
          <w:sz w:val="24"/>
          <w:szCs w:val="24"/>
        </w:rPr>
      </w:pPr>
      <w:r w:rsidRPr="00474DC8">
        <w:rPr>
          <w:rFonts w:ascii="Times New Roman" w:hAnsi="Times New Roman" w:cs="Times New Roman"/>
          <w:color w:val="000000"/>
          <w:sz w:val="24"/>
          <w:szCs w:val="24"/>
        </w:rPr>
        <w:t>Neprieštarauja teisės aktams.</w:t>
      </w:r>
    </w:p>
    <w:p w:rsidR="005F7B5C" w:rsidRDefault="005F7B5C" w:rsidP="000E4C03">
      <w:pPr>
        <w:ind w:firstLine="720"/>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 xml:space="preserve">Antikorupcinis vertinimas. </w:t>
      </w:r>
      <w:r w:rsidRPr="00474DC8">
        <w:rPr>
          <w:rFonts w:ascii="Times New Roman" w:hAnsi="Times New Roman" w:cs="Times New Roman"/>
          <w:sz w:val="24"/>
          <w:szCs w:val="24"/>
          <w:shd w:val="clear" w:color="auto" w:fill="FFFFFF"/>
        </w:rPr>
        <w:t xml:space="preserve">Teisės akte nenumatoma reguliuoti visuomeninių santykių, susijusių su Lietuvos Respublikos </w:t>
      </w:r>
      <w:r>
        <w:rPr>
          <w:rFonts w:ascii="Times New Roman" w:hAnsi="Times New Roman" w:cs="Times New Roman"/>
          <w:sz w:val="24"/>
          <w:szCs w:val="24"/>
          <w:shd w:val="clear" w:color="auto" w:fill="FFFFFF"/>
        </w:rPr>
        <w:t>k</w:t>
      </w:r>
      <w:r w:rsidRPr="00474DC8">
        <w:rPr>
          <w:rFonts w:ascii="Times New Roman" w:hAnsi="Times New Roman" w:cs="Times New Roman"/>
          <w:sz w:val="24"/>
          <w:szCs w:val="24"/>
          <w:shd w:val="clear" w:color="auto" w:fill="FFFFFF"/>
        </w:rPr>
        <w:t>orupcijos prevencijos įstatymo 8 straipsnio 1 dalyje numatytais veiksniais, todėl nevertintinas antikorupciniu požiūriu.</w:t>
      </w:r>
    </w:p>
    <w:p w:rsidR="005F7B5C" w:rsidRPr="00E04C50" w:rsidRDefault="005F7B5C" w:rsidP="000E4C03">
      <w:pPr>
        <w:ind w:firstLine="720"/>
        <w:jc w:val="both"/>
        <w:rPr>
          <w:rFonts w:ascii="Times New Roman" w:hAnsi="Times New Roman" w:cs="Times New Roman"/>
          <w:b/>
          <w:bCs/>
          <w:sz w:val="24"/>
          <w:szCs w:val="24"/>
        </w:rPr>
      </w:pPr>
    </w:p>
    <w:p w:rsidR="005F7B5C" w:rsidRDefault="005F7B5C" w:rsidP="000E4C03">
      <w:pPr>
        <w:ind w:firstLine="720"/>
        <w:rPr>
          <w:rFonts w:ascii="Times New Roman" w:hAnsi="Times New Roman" w:cs="Times New Roman"/>
          <w:sz w:val="24"/>
          <w:szCs w:val="24"/>
        </w:rPr>
      </w:pPr>
    </w:p>
    <w:p w:rsidR="005F7B5C" w:rsidRDefault="005F7B5C" w:rsidP="000E4C03">
      <w:pPr>
        <w:ind w:firstLine="720"/>
        <w:rPr>
          <w:rFonts w:ascii="Times New Roman" w:hAnsi="Times New Roman" w:cs="Times New Roman"/>
          <w:sz w:val="24"/>
          <w:szCs w:val="24"/>
        </w:rPr>
      </w:pPr>
    </w:p>
    <w:p w:rsidR="005F7B5C" w:rsidRDefault="005F7B5C" w:rsidP="000E4C03">
      <w:pPr>
        <w:ind w:firstLine="720"/>
        <w:rPr>
          <w:rFonts w:ascii="Times New Roman" w:hAnsi="Times New Roman" w:cs="Times New Roman"/>
          <w:sz w:val="24"/>
          <w:szCs w:val="24"/>
        </w:rPr>
      </w:pPr>
    </w:p>
    <w:p w:rsidR="005F7B5C" w:rsidRDefault="0071166E" w:rsidP="00681929">
      <w:pPr>
        <w:jc w:val="right"/>
        <w:rPr>
          <w:rFonts w:ascii="Times New Roman" w:hAnsi="Times New Roman" w:cs="Times New Roman"/>
          <w:sz w:val="24"/>
          <w:szCs w:val="24"/>
        </w:rPr>
      </w:pPr>
      <w:r>
        <w:rPr>
          <w:rFonts w:ascii="Times New Roman" w:hAnsi="Times New Roman" w:cs="Times New Roman"/>
          <w:sz w:val="24"/>
          <w:szCs w:val="24"/>
        </w:rPr>
        <w:t>Remigijus Su</w:t>
      </w:r>
      <w:r w:rsidR="005F7B5C">
        <w:rPr>
          <w:rFonts w:ascii="Times New Roman" w:hAnsi="Times New Roman" w:cs="Times New Roman"/>
          <w:sz w:val="24"/>
          <w:szCs w:val="24"/>
        </w:rPr>
        <w:t>nklodas</w:t>
      </w:r>
    </w:p>
    <w:p w:rsidR="005F7B5C" w:rsidRDefault="005F7B5C" w:rsidP="00681929">
      <w:pPr>
        <w:jc w:val="right"/>
        <w:rPr>
          <w:rFonts w:ascii="Times New Roman" w:hAnsi="Times New Roman" w:cs="Times New Roman"/>
          <w:sz w:val="24"/>
          <w:szCs w:val="24"/>
        </w:rPr>
      </w:pPr>
    </w:p>
    <w:p w:rsidR="005F7B5C" w:rsidRDefault="005F7B5C">
      <w:pPr>
        <w:rPr>
          <w:rFonts w:ascii="Times New Roman" w:hAnsi="Times New Roman" w:cs="Times New Roman"/>
          <w:sz w:val="24"/>
          <w:szCs w:val="24"/>
        </w:rPr>
      </w:pPr>
    </w:p>
    <w:p w:rsidR="005F7B5C" w:rsidRDefault="005F7B5C">
      <w:pPr>
        <w:rPr>
          <w:rFonts w:ascii="Times New Roman" w:hAnsi="Times New Roman" w:cs="Times New Roman"/>
          <w:sz w:val="24"/>
          <w:szCs w:val="24"/>
        </w:rPr>
      </w:pPr>
    </w:p>
    <w:p w:rsidR="005F7B5C" w:rsidRDefault="005F7B5C">
      <w:pPr>
        <w:rPr>
          <w:rFonts w:ascii="Times New Roman" w:hAnsi="Times New Roman" w:cs="Times New Roman"/>
          <w:sz w:val="24"/>
          <w:szCs w:val="24"/>
        </w:rPr>
      </w:pPr>
    </w:p>
    <w:p w:rsidR="005F7B5C" w:rsidRDefault="005F7B5C">
      <w:pPr>
        <w:rPr>
          <w:rFonts w:ascii="Times New Roman" w:hAnsi="Times New Roman" w:cs="Times New Roman"/>
          <w:sz w:val="24"/>
          <w:szCs w:val="24"/>
        </w:rPr>
      </w:pPr>
    </w:p>
    <w:p w:rsidR="005F7B5C" w:rsidRDefault="005F7B5C" w:rsidP="00C9356E">
      <w:pPr>
        <w:rPr>
          <w:rFonts w:ascii="Times New Roman" w:hAnsi="Times New Roman" w:cs="Times New Roman"/>
          <w:sz w:val="24"/>
          <w:szCs w:val="24"/>
        </w:rPr>
        <w:sectPr w:rsidR="005F7B5C" w:rsidSect="00EA3C9B">
          <w:pgSz w:w="11906" w:h="16838"/>
          <w:pgMar w:top="1134" w:right="567" w:bottom="1134" w:left="1701" w:header="567" w:footer="567" w:gutter="0"/>
          <w:cols w:space="1296"/>
          <w:docGrid w:linePitch="360"/>
        </w:sectPr>
      </w:pPr>
    </w:p>
    <w:tbl>
      <w:tblPr>
        <w:tblW w:w="0" w:type="auto"/>
        <w:tblLook w:val="01E0" w:firstRow="1" w:lastRow="1" w:firstColumn="1" w:lastColumn="1" w:noHBand="0" w:noVBand="0"/>
      </w:tblPr>
      <w:tblGrid>
        <w:gridCol w:w="8208"/>
        <w:gridCol w:w="6120"/>
      </w:tblGrid>
      <w:tr w:rsidR="005F7B5C" w:rsidRPr="003A53BA" w:rsidTr="003A53BA">
        <w:tc>
          <w:tcPr>
            <w:tcW w:w="8208" w:type="dxa"/>
            <w:shd w:val="clear" w:color="auto" w:fill="auto"/>
          </w:tcPr>
          <w:p w:rsidR="005F7B5C" w:rsidRPr="003A53BA" w:rsidRDefault="005F7B5C" w:rsidP="00C9356E">
            <w:pPr>
              <w:rPr>
                <w:rFonts w:ascii="Times New Roman" w:hAnsi="Times New Roman" w:cs="Times New Roman"/>
                <w:sz w:val="24"/>
                <w:szCs w:val="24"/>
              </w:rPr>
            </w:pPr>
          </w:p>
        </w:tc>
        <w:tc>
          <w:tcPr>
            <w:tcW w:w="6120" w:type="dxa"/>
            <w:shd w:val="clear" w:color="auto" w:fill="auto"/>
          </w:tcPr>
          <w:p w:rsidR="005F7B5C" w:rsidRPr="003A53BA" w:rsidRDefault="005F7B5C" w:rsidP="00C9356E">
            <w:pPr>
              <w:rPr>
                <w:rFonts w:ascii="Times New Roman" w:hAnsi="Times New Roman" w:cs="Times New Roman"/>
                <w:sz w:val="24"/>
                <w:szCs w:val="24"/>
              </w:rPr>
            </w:pPr>
            <w:r w:rsidRPr="003A53BA">
              <w:rPr>
                <w:rFonts w:ascii="Times New Roman" w:hAnsi="Times New Roman" w:cs="Times New Roman"/>
                <w:sz w:val="24"/>
                <w:szCs w:val="24"/>
              </w:rPr>
              <w:t>Gaisrinių gelbėjimo automobilių parko ir gaisrinės gelbėjimo įrangos atnaujinimo Rokiškio rajono savivaldybės priešgaisrinėje tarnyboje 2018</w:t>
            </w:r>
            <w:r w:rsidR="00EE0529">
              <w:rPr>
                <w:rFonts w:ascii="Times New Roman" w:hAnsi="Times New Roman" w:cs="Times New Roman"/>
                <w:sz w:val="24"/>
                <w:szCs w:val="24"/>
              </w:rPr>
              <w:t>–</w:t>
            </w:r>
            <w:r w:rsidR="00506C3F" w:rsidRPr="003A53BA">
              <w:rPr>
                <w:rFonts w:ascii="Times New Roman" w:hAnsi="Times New Roman" w:cs="Times New Roman"/>
                <w:sz w:val="24"/>
                <w:szCs w:val="24"/>
              </w:rPr>
              <w:t>2023</w:t>
            </w:r>
            <w:r w:rsidRPr="003A53BA">
              <w:rPr>
                <w:rFonts w:ascii="Times New Roman" w:hAnsi="Times New Roman" w:cs="Times New Roman"/>
                <w:sz w:val="24"/>
                <w:szCs w:val="24"/>
              </w:rPr>
              <w:t xml:space="preserve"> metų programos </w:t>
            </w:r>
          </w:p>
          <w:p w:rsidR="005F7B5C" w:rsidRPr="003A53BA" w:rsidRDefault="005F7B5C" w:rsidP="00C9356E">
            <w:pPr>
              <w:rPr>
                <w:rFonts w:ascii="Times New Roman" w:hAnsi="Times New Roman" w:cs="Times New Roman"/>
                <w:sz w:val="24"/>
                <w:szCs w:val="24"/>
              </w:rPr>
            </w:pPr>
            <w:r w:rsidRPr="003A53BA">
              <w:rPr>
                <w:rFonts w:ascii="Times New Roman" w:hAnsi="Times New Roman" w:cs="Times New Roman"/>
                <w:sz w:val="24"/>
                <w:szCs w:val="24"/>
              </w:rPr>
              <w:t>priedas</w:t>
            </w:r>
          </w:p>
          <w:p w:rsidR="005F7B5C" w:rsidRPr="003A53BA" w:rsidRDefault="005F7B5C" w:rsidP="00C9356E">
            <w:pPr>
              <w:rPr>
                <w:rFonts w:ascii="Times New Roman" w:hAnsi="Times New Roman" w:cs="Times New Roman"/>
                <w:sz w:val="24"/>
                <w:szCs w:val="24"/>
              </w:rPr>
            </w:pPr>
          </w:p>
        </w:tc>
      </w:tr>
    </w:tbl>
    <w:p w:rsidR="005F7B5C" w:rsidRDefault="005F7B5C" w:rsidP="00681929">
      <w:pPr>
        <w:rPr>
          <w:rFonts w:ascii="Times New Roman" w:hAnsi="Times New Roman" w:cs="Times New Roman"/>
          <w:sz w:val="24"/>
          <w:szCs w:val="24"/>
        </w:rPr>
      </w:pPr>
      <w:r>
        <w:rPr>
          <w:rFonts w:ascii="Times New Roman" w:hAnsi="Times New Roman" w:cs="Times New Roman"/>
          <w:sz w:val="24"/>
          <w:szCs w:val="24"/>
        </w:rPr>
        <w:t> </w:t>
      </w:r>
    </w:p>
    <w:p w:rsidR="005F7B5C" w:rsidRDefault="005F7B5C" w:rsidP="00681929">
      <w:pPr>
        <w:rPr>
          <w:rFonts w:ascii="Times New Roman" w:hAnsi="Times New Roman" w:cs="Times New Roman"/>
          <w:sz w:val="24"/>
          <w:szCs w:val="24"/>
        </w:rPr>
      </w:pPr>
      <w:r>
        <w:rPr>
          <w:rFonts w:ascii="Times New Roman" w:hAnsi="Times New Roman" w:cs="Times New Roman"/>
          <w:sz w:val="24"/>
          <w:szCs w:val="24"/>
        </w:rPr>
        <w:t> </w:t>
      </w:r>
    </w:p>
    <w:p w:rsidR="005F7B5C" w:rsidRDefault="005F7B5C" w:rsidP="00681929">
      <w:pPr>
        <w:rPr>
          <w:rFonts w:ascii="Times New Roman" w:hAnsi="Times New Roman" w:cs="Times New Roman"/>
          <w:sz w:val="24"/>
          <w:szCs w:val="24"/>
        </w:rPr>
      </w:pPr>
      <w:r>
        <w:rPr>
          <w:rFonts w:ascii="Times New Roman" w:hAnsi="Times New Roman" w:cs="Times New Roman"/>
          <w:b/>
          <w:bCs/>
          <w:caps/>
          <w:sz w:val="24"/>
          <w:szCs w:val="24"/>
        </w:rPr>
        <w:t>Gaisrinių gelbėjimo automobilių parko IR GAISRINĖS GELBĖJIMO ĮRANGOS atnaujinimo ROKIŠKIO RAJONO SAVIVALDYBĖS PRIEŠGAISRINĖJE tarnyboje 2018</w:t>
      </w:r>
      <w:r w:rsidR="00CA49AC">
        <w:rPr>
          <w:rFonts w:ascii="Times New Roman" w:hAnsi="Times New Roman" w:cs="Times New Roman"/>
          <w:b/>
          <w:bCs/>
          <w:caps/>
          <w:sz w:val="24"/>
          <w:szCs w:val="24"/>
        </w:rPr>
        <w:t>–</w:t>
      </w:r>
      <w:r w:rsidR="00506C3F">
        <w:rPr>
          <w:rFonts w:ascii="Times New Roman" w:hAnsi="Times New Roman" w:cs="Times New Roman"/>
          <w:b/>
          <w:bCs/>
          <w:caps/>
          <w:sz w:val="24"/>
          <w:szCs w:val="24"/>
        </w:rPr>
        <w:t>2023</w:t>
      </w:r>
      <w:r>
        <w:rPr>
          <w:rFonts w:ascii="Times New Roman" w:hAnsi="Times New Roman" w:cs="Times New Roman"/>
          <w:b/>
          <w:bCs/>
          <w:caps/>
          <w:sz w:val="24"/>
          <w:szCs w:val="24"/>
        </w:rPr>
        <w:t xml:space="preserve"> Metų programos įgyvendinimo</w:t>
      </w:r>
      <w:r>
        <w:rPr>
          <w:rFonts w:ascii="Times New Roman" w:hAnsi="Times New Roman" w:cs="Times New Roman"/>
          <w:sz w:val="24"/>
          <w:szCs w:val="24"/>
        </w:rPr>
        <w:t xml:space="preserve"> </w:t>
      </w:r>
      <w:r>
        <w:rPr>
          <w:rFonts w:ascii="Times New Roman" w:hAnsi="Times New Roman" w:cs="Times New Roman"/>
          <w:b/>
          <w:bCs/>
          <w:caps/>
          <w:sz w:val="24"/>
          <w:szCs w:val="24"/>
        </w:rPr>
        <w:t>p r i e m o n ė s</w:t>
      </w:r>
    </w:p>
    <w:p w:rsidR="005F7B5C" w:rsidRDefault="005F7B5C" w:rsidP="00681929">
      <w:pPr>
        <w:rPr>
          <w:rFonts w:ascii="Times New Roman" w:hAnsi="Times New Roman" w:cs="Times New Roman"/>
          <w:sz w:val="24"/>
          <w:szCs w:val="24"/>
        </w:rPr>
      </w:pPr>
      <w:r>
        <w:rPr>
          <w:rFonts w:ascii="Times New Roman" w:hAnsi="Times New Roman" w:cs="Times New Roman"/>
          <w:sz w:val="24"/>
          <w:szCs w:val="24"/>
        </w:rPr>
        <w:t> </w:t>
      </w:r>
    </w:p>
    <w:tbl>
      <w:tblPr>
        <w:tblW w:w="14230" w:type="dxa"/>
        <w:tblInd w:w="-5" w:type="dxa"/>
        <w:tblLayout w:type="fixed"/>
        <w:tblCellMar>
          <w:left w:w="0" w:type="dxa"/>
          <w:right w:w="0" w:type="dxa"/>
        </w:tblCellMar>
        <w:tblLook w:val="0000" w:firstRow="0" w:lastRow="0" w:firstColumn="0" w:lastColumn="0" w:noHBand="0" w:noVBand="0"/>
      </w:tblPr>
      <w:tblGrid>
        <w:gridCol w:w="1375"/>
        <w:gridCol w:w="1155"/>
        <w:gridCol w:w="1260"/>
        <w:gridCol w:w="900"/>
        <w:gridCol w:w="1080"/>
        <w:gridCol w:w="900"/>
        <w:gridCol w:w="1080"/>
        <w:gridCol w:w="900"/>
        <w:gridCol w:w="1080"/>
        <w:gridCol w:w="900"/>
        <w:gridCol w:w="1080"/>
        <w:gridCol w:w="900"/>
        <w:gridCol w:w="720"/>
        <w:gridCol w:w="900"/>
      </w:tblGrid>
      <w:tr w:rsidR="00A81612" w:rsidRPr="00A212EA">
        <w:tblPrEx>
          <w:tblCellMar>
            <w:top w:w="0" w:type="dxa"/>
            <w:bottom w:w="0" w:type="dxa"/>
          </w:tblCellMar>
        </w:tblPrEx>
        <w:trPr>
          <w:trHeight w:val="1"/>
        </w:trPr>
        <w:tc>
          <w:tcPr>
            <w:tcW w:w="1375" w:type="dxa"/>
            <w:vMerge w:val="restart"/>
            <w:tcBorders>
              <w:top w:val="single" w:sz="4" w:space="0" w:color="000000"/>
              <w:left w:val="single" w:sz="4" w:space="0" w:color="000000"/>
              <w:bottom w:val="single" w:sz="8" w:space="0" w:color="000000"/>
              <w:right w:val="single" w:sz="6" w:space="0" w:color="000000"/>
            </w:tcBorders>
            <w:shd w:val="clear" w:color="000000" w:fill="auto"/>
            <w:tcMar>
              <w:left w:w="-4" w:type="dxa"/>
              <w:right w:w="-4" w:type="dxa"/>
            </w:tcMar>
            <w:vAlign w:val="center"/>
          </w:tcPr>
          <w:p w:rsidR="00A81612" w:rsidRPr="00A212EA" w:rsidRDefault="00A81612" w:rsidP="00C9356E">
            <w:pPr>
              <w:jc w:val="center"/>
            </w:pPr>
            <w:r>
              <w:rPr>
                <w:rFonts w:ascii="Times New Roman" w:hAnsi="Times New Roman" w:cs="Times New Roman"/>
              </w:rPr>
              <w:t>Technikos ir įrangos pavadinimas</w:t>
            </w:r>
          </w:p>
        </w:tc>
        <w:tc>
          <w:tcPr>
            <w:tcW w:w="1155" w:type="dxa"/>
            <w:vMerge w:val="restart"/>
            <w:tcBorders>
              <w:top w:val="single" w:sz="4" w:space="0" w:color="000000"/>
              <w:left w:val="single" w:sz="8" w:space="0" w:color="000000"/>
              <w:bottom w:val="single" w:sz="8" w:space="0" w:color="000000"/>
              <w:right w:val="single" w:sz="6" w:space="0" w:color="000000"/>
            </w:tcBorders>
            <w:shd w:val="clear" w:color="000000" w:fill="auto"/>
            <w:tcMar>
              <w:left w:w="-4" w:type="dxa"/>
              <w:right w:w="-4" w:type="dxa"/>
            </w:tcMar>
            <w:vAlign w:val="center"/>
          </w:tcPr>
          <w:p w:rsidR="00A81612" w:rsidRPr="00A212EA" w:rsidRDefault="00A81612" w:rsidP="00C9356E">
            <w:pPr>
              <w:jc w:val="center"/>
            </w:pPr>
            <w:r>
              <w:rPr>
                <w:rFonts w:ascii="Times New Roman" w:hAnsi="Times New Roman" w:cs="Times New Roman"/>
              </w:rPr>
              <w:t>Įgyvendinanti  institucija</w:t>
            </w:r>
          </w:p>
        </w:tc>
        <w:tc>
          <w:tcPr>
            <w:tcW w:w="2160" w:type="dxa"/>
            <w:gridSpan w:val="2"/>
            <w:tcBorders>
              <w:top w:val="single" w:sz="4" w:space="0" w:color="000000"/>
              <w:left w:val="single" w:sz="8" w:space="0" w:color="000000"/>
              <w:bottom w:val="single" w:sz="8" w:space="0" w:color="000000"/>
              <w:right w:val="single" w:sz="6" w:space="0" w:color="000000"/>
            </w:tcBorders>
            <w:shd w:val="clear" w:color="000000" w:fill="auto"/>
            <w:tcMar>
              <w:left w:w="-4" w:type="dxa"/>
              <w:right w:w="-4" w:type="dxa"/>
            </w:tcMar>
            <w:vAlign w:val="center"/>
          </w:tcPr>
          <w:p w:rsidR="00A81612" w:rsidRPr="00A212EA" w:rsidRDefault="00A81612" w:rsidP="00A81612">
            <w:pPr>
              <w:jc w:val="center"/>
            </w:pPr>
            <w:r>
              <w:rPr>
                <w:rFonts w:ascii="Times New Roman" w:hAnsi="Times New Roman" w:cs="Times New Roman"/>
              </w:rPr>
              <w:t>2018 metai</w:t>
            </w:r>
          </w:p>
        </w:tc>
        <w:tc>
          <w:tcPr>
            <w:tcW w:w="1980" w:type="dxa"/>
            <w:gridSpan w:val="2"/>
            <w:tcBorders>
              <w:top w:val="single" w:sz="4" w:space="0" w:color="000000"/>
              <w:left w:val="single" w:sz="8" w:space="0" w:color="000000"/>
              <w:bottom w:val="single" w:sz="8" w:space="0" w:color="000000"/>
              <w:right w:val="single" w:sz="6" w:space="0" w:color="000000"/>
            </w:tcBorders>
            <w:shd w:val="clear" w:color="000000" w:fill="auto"/>
            <w:tcMar>
              <w:left w:w="-4" w:type="dxa"/>
              <w:right w:w="-4" w:type="dxa"/>
            </w:tcMar>
            <w:vAlign w:val="center"/>
          </w:tcPr>
          <w:p w:rsidR="00A81612" w:rsidRPr="00A212EA" w:rsidRDefault="00A81612" w:rsidP="00A81612">
            <w:pPr>
              <w:jc w:val="center"/>
            </w:pPr>
            <w:r>
              <w:rPr>
                <w:rFonts w:ascii="Times New Roman" w:hAnsi="Times New Roman" w:cs="Times New Roman"/>
              </w:rPr>
              <w:t>2019 metai</w:t>
            </w:r>
          </w:p>
        </w:tc>
        <w:tc>
          <w:tcPr>
            <w:tcW w:w="1980" w:type="dxa"/>
            <w:gridSpan w:val="2"/>
            <w:tcBorders>
              <w:top w:val="single" w:sz="4" w:space="0" w:color="000000"/>
              <w:left w:val="single" w:sz="8" w:space="0" w:color="000000"/>
              <w:bottom w:val="single" w:sz="8" w:space="0" w:color="000000"/>
              <w:right w:val="single" w:sz="6" w:space="0" w:color="000000"/>
            </w:tcBorders>
            <w:shd w:val="clear" w:color="000000" w:fill="auto"/>
            <w:tcMar>
              <w:left w:w="-4" w:type="dxa"/>
              <w:right w:w="-4" w:type="dxa"/>
            </w:tcMar>
            <w:vAlign w:val="center"/>
          </w:tcPr>
          <w:p w:rsidR="00A81612" w:rsidRPr="00A212EA" w:rsidRDefault="00A81612" w:rsidP="00A81612">
            <w:pPr>
              <w:jc w:val="center"/>
            </w:pPr>
            <w:r>
              <w:rPr>
                <w:rFonts w:ascii="Times New Roman" w:hAnsi="Times New Roman" w:cs="Times New Roman"/>
              </w:rPr>
              <w:t>2020 metai</w:t>
            </w:r>
          </w:p>
        </w:tc>
        <w:tc>
          <w:tcPr>
            <w:tcW w:w="1980" w:type="dxa"/>
            <w:gridSpan w:val="2"/>
            <w:tcBorders>
              <w:top w:val="single" w:sz="4" w:space="0" w:color="000000"/>
              <w:left w:val="single" w:sz="8" w:space="0" w:color="000000"/>
              <w:bottom w:val="single" w:sz="8" w:space="0" w:color="000000"/>
              <w:right w:val="single" w:sz="6" w:space="0" w:color="000000"/>
            </w:tcBorders>
            <w:shd w:val="clear" w:color="000000" w:fill="auto"/>
            <w:tcMar>
              <w:left w:w="-4" w:type="dxa"/>
              <w:right w:w="-4" w:type="dxa"/>
            </w:tcMar>
            <w:vAlign w:val="center"/>
          </w:tcPr>
          <w:p w:rsidR="00A81612" w:rsidRPr="00A212EA" w:rsidRDefault="00A81612" w:rsidP="00A81612">
            <w:pPr>
              <w:jc w:val="center"/>
            </w:pPr>
            <w:r>
              <w:rPr>
                <w:rFonts w:ascii="Times New Roman" w:hAnsi="Times New Roman" w:cs="Times New Roman"/>
              </w:rPr>
              <w:t>2021 metai</w:t>
            </w:r>
          </w:p>
        </w:tc>
        <w:tc>
          <w:tcPr>
            <w:tcW w:w="1980" w:type="dxa"/>
            <w:gridSpan w:val="2"/>
            <w:tcBorders>
              <w:top w:val="single" w:sz="4" w:space="0" w:color="000000"/>
              <w:left w:val="single" w:sz="8" w:space="0" w:color="000000"/>
              <w:bottom w:val="single" w:sz="8" w:space="0" w:color="000000"/>
              <w:right w:val="single" w:sz="4" w:space="0" w:color="000000"/>
            </w:tcBorders>
            <w:shd w:val="clear" w:color="000000" w:fill="auto"/>
            <w:tcMar>
              <w:left w:w="-4" w:type="dxa"/>
              <w:right w:w="-4" w:type="dxa"/>
            </w:tcMar>
          </w:tcPr>
          <w:p w:rsidR="00A81612" w:rsidRDefault="00A81612" w:rsidP="00A81612">
            <w:pPr>
              <w:jc w:val="center"/>
            </w:pPr>
            <w:r w:rsidRPr="003304EB">
              <w:rPr>
                <w:rFonts w:ascii="Times New Roman" w:hAnsi="Times New Roman" w:cs="Times New Roman"/>
              </w:rPr>
              <w:t>202</w:t>
            </w:r>
            <w:r>
              <w:rPr>
                <w:rFonts w:ascii="Times New Roman" w:hAnsi="Times New Roman" w:cs="Times New Roman"/>
              </w:rPr>
              <w:t>2</w:t>
            </w:r>
            <w:r w:rsidRPr="003304EB">
              <w:rPr>
                <w:rFonts w:ascii="Times New Roman" w:hAnsi="Times New Roman" w:cs="Times New Roman"/>
              </w:rPr>
              <w:t xml:space="preserve"> metai</w:t>
            </w:r>
          </w:p>
        </w:tc>
        <w:tc>
          <w:tcPr>
            <w:tcW w:w="1620" w:type="dxa"/>
            <w:gridSpan w:val="2"/>
            <w:tcBorders>
              <w:top w:val="single" w:sz="4" w:space="0" w:color="000000"/>
              <w:left w:val="single" w:sz="8" w:space="0" w:color="000000"/>
              <w:bottom w:val="single" w:sz="8" w:space="0" w:color="000000"/>
              <w:right w:val="single" w:sz="4" w:space="0" w:color="000000"/>
            </w:tcBorders>
            <w:shd w:val="clear" w:color="000000" w:fill="auto"/>
            <w:vAlign w:val="center"/>
          </w:tcPr>
          <w:p w:rsidR="00A81612" w:rsidRPr="00A212EA" w:rsidRDefault="00A81612" w:rsidP="00A81612">
            <w:pPr>
              <w:jc w:val="center"/>
            </w:pPr>
            <w:r>
              <w:rPr>
                <w:rFonts w:ascii="Times New Roman" w:hAnsi="Times New Roman" w:cs="Times New Roman"/>
              </w:rPr>
              <w:t>2023 metai</w:t>
            </w:r>
          </w:p>
        </w:tc>
      </w:tr>
      <w:tr w:rsidR="00A81612" w:rsidRPr="00A212EA">
        <w:tblPrEx>
          <w:tblCellMar>
            <w:top w:w="0" w:type="dxa"/>
            <w:bottom w:w="0" w:type="dxa"/>
          </w:tblCellMar>
        </w:tblPrEx>
        <w:trPr>
          <w:trHeight w:val="1"/>
        </w:trPr>
        <w:tc>
          <w:tcPr>
            <w:tcW w:w="1375" w:type="dxa"/>
            <w:vMerge/>
            <w:tcBorders>
              <w:top w:val="single" w:sz="8" w:space="0" w:color="000000"/>
              <w:left w:val="single" w:sz="4" w:space="0" w:color="000000"/>
              <w:bottom w:val="single" w:sz="4" w:space="0" w:color="000000"/>
              <w:right w:val="single" w:sz="6" w:space="0" w:color="000000"/>
            </w:tcBorders>
            <w:shd w:val="clear" w:color="000000" w:fill="auto"/>
            <w:tcMar>
              <w:left w:w="-4" w:type="dxa"/>
              <w:right w:w="-4" w:type="dxa"/>
            </w:tcMar>
            <w:vAlign w:val="center"/>
          </w:tcPr>
          <w:p w:rsidR="00A81612" w:rsidRDefault="00A81612" w:rsidP="00C9356E">
            <w:pPr>
              <w:spacing w:after="200" w:line="276" w:lineRule="auto"/>
            </w:pPr>
          </w:p>
        </w:tc>
        <w:tc>
          <w:tcPr>
            <w:tcW w:w="1155" w:type="dxa"/>
            <w:vMerge/>
            <w:tcBorders>
              <w:top w:val="single" w:sz="8" w:space="0" w:color="000000"/>
              <w:left w:val="single" w:sz="8" w:space="0" w:color="000000"/>
              <w:bottom w:val="single" w:sz="4" w:space="0" w:color="000000"/>
              <w:right w:val="single" w:sz="6" w:space="0" w:color="000000"/>
            </w:tcBorders>
            <w:shd w:val="clear" w:color="000000" w:fill="auto"/>
            <w:tcMar>
              <w:left w:w="-4" w:type="dxa"/>
              <w:right w:w="-4" w:type="dxa"/>
            </w:tcMar>
            <w:vAlign w:val="center"/>
          </w:tcPr>
          <w:p w:rsidR="00A81612" w:rsidRDefault="00A81612" w:rsidP="00C9356E">
            <w:pPr>
              <w:spacing w:after="200" w:line="276" w:lineRule="auto"/>
            </w:pPr>
          </w:p>
        </w:tc>
        <w:tc>
          <w:tcPr>
            <w:tcW w:w="1260" w:type="dxa"/>
            <w:tcBorders>
              <w:top w:val="single" w:sz="4" w:space="0" w:color="000000"/>
              <w:left w:val="single" w:sz="8" w:space="0" w:color="000000"/>
              <w:bottom w:val="single" w:sz="4" w:space="0" w:color="000000"/>
              <w:right w:val="single" w:sz="6" w:space="0" w:color="000000"/>
            </w:tcBorders>
            <w:shd w:val="clear" w:color="000000" w:fill="auto"/>
            <w:tcMar>
              <w:left w:w="-4" w:type="dxa"/>
              <w:right w:w="-4" w:type="dxa"/>
            </w:tcMar>
            <w:vAlign w:val="center"/>
          </w:tcPr>
          <w:p w:rsidR="00A81612" w:rsidRPr="00A212EA" w:rsidRDefault="00A81612" w:rsidP="00C9356E">
            <w:pPr>
              <w:jc w:val="center"/>
            </w:pPr>
            <w:r>
              <w:rPr>
                <w:rFonts w:ascii="Times New Roman" w:hAnsi="Times New Roman" w:cs="Times New Roman"/>
              </w:rPr>
              <w:t>kiekis (vnt.)</w:t>
            </w:r>
          </w:p>
        </w:tc>
        <w:tc>
          <w:tcPr>
            <w:tcW w:w="900" w:type="dxa"/>
            <w:tcBorders>
              <w:top w:val="single" w:sz="8" w:space="0" w:color="000000"/>
              <w:left w:val="single" w:sz="8" w:space="0" w:color="000000"/>
              <w:bottom w:val="single" w:sz="4" w:space="0" w:color="000000"/>
              <w:right w:val="single" w:sz="6" w:space="0" w:color="000000"/>
            </w:tcBorders>
            <w:shd w:val="clear" w:color="000000" w:fill="auto"/>
            <w:tcMar>
              <w:left w:w="-4" w:type="dxa"/>
              <w:right w:w="-4" w:type="dxa"/>
            </w:tcMar>
            <w:vAlign w:val="center"/>
          </w:tcPr>
          <w:p w:rsidR="00A81612" w:rsidRPr="00A212EA" w:rsidRDefault="00A81612" w:rsidP="00C9356E">
            <w:pPr>
              <w:jc w:val="center"/>
            </w:pPr>
            <w:r>
              <w:rPr>
                <w:rFonts w:ascii="Times New Roman" w:hAnsi="Times New Roman" w:cs="Times New Roman"/>
              </w:rPr>
              <w:t>preliminarus lėšų poreikis (tūkst. Eur)</w:t>
            </w:r>
          </w:p>
        </w:tc>
        <w:tc>
          <w:tcPr>
            <w:tcW w:w="1080" w:type="dxa"/>
            <w:tcBorders>
              <w:top w:val="single" w:sz="4" w:space="0" w:color="000000"/>
              <w:left w:val="single" w:sz="8" w:space="0" w:color="000000"/>
              <w:bottom w:val="single" w:sz="4" w:space="0" w:color="000000"/>
              <w:right w:val="single" w:sz="6" w:space="0" w:color="000000"/>
            </w:tcBorders>
            <w:shd w:val="clear" w:color="000000" w:fill="auto"/>
            <w:tcMar>
              <w:left w:w="-4" w:type="dxa"/>
              <w:right w:w="-4" w:type="dxa"/>
            </w:tcMar>
            <w:vAlign w:val="center"/>
          </w:tcPr>
          <w:p w:rsidR="00A81612" w:rsidRPr="00A212EA" w:rsidRDefault="00A81612" w:rsidP="00C9356E">
            <w:pPr>
              <w:jc w:val="center"/>
            </w:pPr>
            <w:r>
              <w:rPr>
                <w:rFonts w:ascii="Times New Roman" w:hAnsi="Times New Roman" w:cs="Times New Roman"/>
              </w:rPr>
              <w:t>kiekis (vnt.)</w:t>
            </w:r>
          </w:p>
        </w:tc>
        <w:tc>
          <w:tcPr>
            <w:tcW w:w="900" w:type="dxa"/>
            <w:tcBorders>
              <w:top w:val="single" w:sz="4" w:space="0" w:color="000000"/>
              <w:left w:val="single" w:sz="8" w:space="0" w:color="000000"/>
              <w:bottom w:val="single" w:sz="4" w:space="0" w:color="000000"/>
              <w:right w:val="single" w:sz="6" w:space="0" w:color="000000"/>
            </w:tcBorders>
            <w:shd w:val="clear" w:color="000000" w:fill="auto"/>
            <w:tcMar>
              <w:left w:w="-4" w:type="dxa"/>
              <w:right w:w="-4" w:type="dxa"/>
            </w:tcMar>
            <w:vAlign w:val="center"/>
          </w:tcPr>
          <w:p w:rsidR="00A81612" w:rsidRPr="00A212EA" w:rsidRDefault="00A81612" w:rsidP="00C9356E">
            <w:pPr>
              <w:jc w:val="center"/>
            </w:pPr>
            <w:r>
              <w:rPr>
                <w:rFonts w:ascii="Times New Roman" w:hAnsi="Times New Roman" w:cs="Times New Roman"/>
              </w:rPr>
              <w:t>preliminarus lėšų poreikis (tūkst. Eur)</w:t>
            </w:r>
          </w:p>
        </w:tc>
        <w:tc>
          <w:tcPr>
            <w:tcW w:w="1080" w:type="dxa"/>
            <w:tcBorders>
              <w:top w:val="single" w:sz="4" w:space="0" w:color="000000"/>
              <w:left w:val="single" w:sz="8" w:space="0" w:color="000000"/>
              <w:bottom w:val="single" w:sz="4" w:space="0" w:color="000000"/>
              <w:right w:val="single" w:sz="6" w:space="0" w:color="000000"/>
            </w:tcBorders>
            <w:shd w:val="clear" w:color="000000" w:fill="auto"/>
            <w:tcMar>
              <w:left w:w="-4" w:type="dxa"/>
              <w:right w:w="-4" w:type="dxa"/>
            </w:tcMar>
            <w:vAlign w:val="center"/>
          </w:tcPr>
          <w:p w:rsidR="00A81612" w:rsidRPr="00A212EA" w:rsidRDefault="00A81612" w:rsidP="00C9356E">
            <w:pPr>
              <w:jc w:val="center"/>
            </w:pPr>
            <w:r>
              <w:rPr>
                <w:rFonts w:ascii="Times New Roman" w:hAnsi="Times New Roman" w:cs="Times New Roman"/>
              </w:rPr>
              <w:t>kiekis (vnt.)</w:t>
            </w:r>
          </w:p>
        </w:tc>
        <w:tc>
          <w:tcPr>
            <w:tcW w:w="900" w:type="dxa"/>
            <w:tcBorders>
              <w:top w:val="single" w:sz="4" w:space="0" w:color="000000"/>
              <w:left w:val="single" w:sz="8" w:space="0" w:color="000000"/>
              <w:bottom w:val="single" w:sz="4" w:space="0" w:color="000000"/>
              <w:right w:val="single" w:sz="6" w:space="0" w:color="000000"/>
            </w:tcBorders>
            <w:shd w:val="clear" w:color="000000" w:fill="auto"/>
            <w:tcMar>
              <w:left w:w="-4" w:type="dxa"/>
              <w:right w:w="-4" w:type="dxa"/>
            </w:tcMar>
            <w:vAlign w:val="center"/>
          </w:tcPr>
          <w:p w:rsidR="00A81612" w:rsidRPr="00A212EA" w:rsidRDefault="00A81612" w:rsidP="00C9356E">
            <w:pPr>
              <w:jc w:val="center"/>
            </w:pPr>
            <w:r>
              <w:rPr>
                <w:rFonts w:ascii="Times New Roman" w:hAnsi="Times New Roman" w:cs="Times New Roman"/>
              </w:rPr>
              <w:t>preliminarus lėšų poreikis (tūkst. Eur)</w:t>
            </w:r>
          </w:p>
        </w:tc>
        <w:tc>
          <w:tcPr>
            <w:tcW w:w="1080" w:type="dxa"/>
            <w:tcBorders>
              <w:top w:val="single" w:sz="4" w:space="0" w:color="000000"/>
              <w:left w:val="single" w:sz="8" w:space="0" w:color="000000"/>
              <w:bottom w:val="single" w:sz="4" w:space="0" w:color="000000"/>
              <w:right w:val="single" w:sz="8" w:space="0" w:color="000000"/>
            </w:tcBorders>
            <w:shd w:val="clear" w:color="000000" w:fill="auto"/>
            <w:vAlign w:val="center"/>
          </w:tcPr>
          <w:p w:rsidR="00A81612" w:rsidRPr="00A212EA" w:rsidRDefault="00A81612" w:rsidP="00A81612">
            <w:pPr>
              <w:jc w:val="center"/>
            </w:pPr>
            <w:r>
              <w:rPr>
                <w:rFonts w:ascii="Times New Roman" w:hAnsi="Times New Roman" w:cs="Times New Roman"/>
              </w:rPr>
              <w:t>kiekis (vnt.)</w:t>
            </w:r>
          </w:p>
        </w:tc>
        <w:tc>
          <w:tcPr>
            <w:tcW w:w="900" w:type="dxa"/>
            <w:tcBorders>
              <w:top w:val="single" w:sz="4" w:space="0" w:color="000000"/>
              <w:left w:val="single" w:sz="8" w:space="0" w:color="000000"/>
              <w:bottom w:val="single" w:sz="4" w:space="0" w:color="000000"/>
              <w:right w:val="single" w:sz="4" w:space="0" w:color="000000"/>
            </w:tcBorders>
            <w:shd w:val="clear" w:color="000000" w:fill="auto"/>
            <w:vAlign w:val="center"/>
          </w:tcPr>
          <w:p w:rsidR="00A81612" w:rsidRPr="00A212EA" w:rsidRDefault="00A81612" w:rsidP="00A81612">
            <w:pPr>
              <w:jc w:val="center"/>
            </w:pPr>
            <w:r>
              <w:rPr>
                <w:rFonts w:ascii="Times New Roman" w:hAnsi="Times New Roman" w:cs="Times New Roman"/>
              </w:rPr>
              <w:t>preliminarus lėšų poreikis (tūkst. Eur)</w:t>
            </w:r>
          </w:p>
        </w:tc>
        <w:tc>
          <w:tcPr>
            <w:tcW w:w="1080" w:type="dxa"/>
            <w:tcBorders>
              <w:top w:val="single" w:sz="4" w:space="0" w:color="000000"/>
              <w:left w:val="single" w:sz="8" w:space="0" w:color="000000"/>
              <w:bottom w:val="single" w:sz="4" w:space="0" w:color="000000"/>
              <w:right w:val="single" w:sz="4" w:space="0" w:color="000000"/>
            </w:tcBorders>
            <w:shd w:val="clear" w:color="000000" w:fill="auto"/>
            <w:tcMar>
              <w:left w:w="-4" w:type="dxa"/>
              <w:right w:w="-4" w:type="dxa"/>
            </w:tcMar>
            <w:vAlign w:val="center"/>
          </w:tcPr>
          <w:p w:rsidR="00A81612" w:rsidRPr="00A212EA" w:rsidRDefault="00A81612" w:rsidP="00C9356E">
            <w:pPr>
              <w:jc w:val="center"/>
            </w:pPr>
            <w:r>
              <w:rPr>
                <w:rFonts w:ascii="Times New Roman" w:hAnsi="Times New Roman" w:cs="Times New Roman"/>
              </w:rPr>
              <w:t>kiekis (vnt.)</w:t>
            </w:r>
          </w:p>
        </w:tc>
        <w:tc>
          <w:tcPr>
            <w:tcW w:w="900" w:type="dxa"/>
            <w:tcBorders>
              <w:top w:val="single" w:sz="4" w:space="0" w:color="000000"/>
              <w:left w:val="single" w:sz="4" w:space="0" w:color="000000"/>
              <w:bottom w:val="single" w:sz="4" w:space="0" w:color="000000"/>
              <w:right w:val="single" w:sz="6" w:space="0" w:color="000000"/>
            </w:tcBorders>
            <w:shd w:val="clear" w:color="000000" w:fill="auto"/>
            <w:tcMar>
              <w:left w:w="-4" w:type="dxa"/>
              <w:right w:w="-4" w:type="dxa"/>
            </w:tcMar>
            <w:vAlign w:val="center"/>
          </w:tcPr>
          <w:p w:rsidR="00A81612" w:rsidRPr="00A212EA" w:rsidRDefault="00A81612" w:rsidP="00C9356E">
            <w:pPr>
              <w:jc w:val="center"/>
            </w:pPr>
            <w:r>
              <w:rPr>
                <w:rFonts w:ascii="Times New Roman" w:hAnsi="Times New Roman" w:cs="Times New Roman"/>
              </w:rPr>
              <w:t>preliminarus lėšų poreikis (tūkst. Eur)</w:t>
            </w:r>
          </w:p>
        </w:tc>
        <w:tc>
          <w:tcPr>
            <w:tcW w:w="720" w:type="dxa"/>
            <w:tcBorders>
              <w:top w:val="single" w:sz="4" w:space="0" w:color="000000"/>
              <w:left w:val="single" w:sz="8" w:space="0" w:color="000000"/>
              <w:bottom w:val="single" w:sz="4" w:space="0" w:color="000000"/>
              <w:right w:val="single" w:sz="4" w:space="0" w:color="000000"/>
            </w:tcBorders>
            <w:shd w:val="clear" w:color="000000" w:fill="auto"/>
            <w:tcMar>
              <w:left w:w="-4" w:type="dxa"/>
              <w:right w:w="-4" w:type="dxa"/>
            </w:tcMar>
            <w:vAlign w:val="center"/>
          </w:tcPr>
          <w:p w:rsidR="00A81612" w:rsidRPr="00A212EA" w:rsidRDefault="00A81612" w:rsidP="00C9356E">
            <w:pPr>
              <w:jc w:val="center"/>
            </w:pPr>
            <w:r>
              <w:rPr>
                <w:rFonts w:ascii="Times New Roman" w:hAnsi="Times New Roman" w:cs="Times New Roman"/>
              </w:rPr>
              <w:t>kiekis (vnt.)</w:t>
            </w:r>
          </w:p>
        </w:tc>
        <w:tc>
          <w:tcPr>
            <w:tcW w:w="900" w:type="dxa"/>
            <w:tcBorders>
              <w:top w:val="single" w:sz="4" w:space="0" w:color="000000"/>
              <w:left w:val="single" w:sz="4" w:space="0" w:color="000000"/>
              <w:bottom w:val="single" w:sz="4" w:space="0" w:color="000000"/>
              <w:right w:val="single" w:sz="4" w:space="0" w:color="000000"/>
            </w:tcBorders>
            <w:shd w:val="clear" w:color="000000" w:fill="auto"/>
            <w:tcMar>
              <w:left w:w="-4" w:type="dxa"/>
              <w:right w:w="-4" w:type="dxa"/>
            </w:tcMar>
            <w:vAlign w:val="center"/>
          </w:tcPr>
          <w:p w:rsidR="00A81612" w:rsidRPr="00A212EA" w:rsidRDefault="00A81612" w:rsidP="00C9356E">
            <w:pPr>
              <w:jc w:val="center"/>
            </w:pPr>
            <w:r>
              <w:rPr>
                <w:rFonts w:ascii="Times New Roman" w:hAnsi="Times New Roman" w:cs="Times New Roman"/>
              </w:rPr>
              <w:t>preliminarus lėšų poreikis (tūkst. Eur)</w:t>
            </w:r>
          </w:p>
        </w:tc>
      </w:tr>
      <w:tr w:rsidR="00A81612" w:rsidRPr="00A212EA">
        <w:tblPrEx>
          <w:tblCellMar>
            <w:top w:w="0" w:type="dxa"/>
            <w:bottom w:w="0" w:type="dxa"/>
          </w:tblCellMar>
        </w:tblPrEx>
        <w:trPr>
          <w:trHeight w:val="1"/>
        </w:trPr>
        <w:tc>
          <w:tcPr>
            <w:tcW w:w="1375" w:type="dxa"/>
            <w:tcBorders>
              <w:top w:val="single" w:sz="4" w:space="0" w:color="000000"/>
              <w:left w:val="single" w:sz="4" w:space="0" w:color="000000"/>
              <w:bottom w:val="single" w:sz="8" w:space="0" w:color="000000"/>
              <w:right w:val="single" w:sz="6" w:space="0" w:color="000000"/>
            </w:tcBorders>
            <w:shd w:val="clear" w:color="000000" w:fill="auto"/>
            <w:tcMar>
              <w:left w:w="-4" w:type="dxa"/>
              <w:right w:w="-4" w:type="dxa"/>
            </w:tcMar>
            <w:vAlign w:val="center"/>
          </w:tcPr>
          <w:p w:rsidR="00A81612" w:rsidRPr="00506C3F" w:rsidRDefault="00A81612" w:rsidP="00BB0E87">
            <w:pPr>
              <w:ind w:left="234" w:hanging="180"/>
              <w:jc w:val="center"/>
              <w:rPr>
                <w:sz w:val="20"/>
                <w:szCs w:val="20"/>
              </w:rPr>
            </w:pPr>
            <w:r w:rsidRPr="00506C3F">
              <w:rPr>
                <w:rFonts w:ascii="Times New Roman" w:hAnsi="Times New Roman" w:cs="Times New Roman"/>
                <w:sz w:val="20"/>
                <w:szCs w:val="20"/>
              </w:rPr>
              <w:t>1.Lengvosios gaisrinės automobilinės cisternos</w:t>
            </w:r>
          </w:p>
        </w:tc>
        <w:tc>
          <w:tcPr>
            <w:tcW w:w="1155" w:type="dxa"/>
            <w:tcBorders>
              <w:top w:val="single" w:sz="4" w:space="0" w:color="000000"/>
              <w:left w:val="single" w:sz="8" w:space="0" w:color="000000"/>
              <w:bottom w:val="single" w:sz="4" w:space="0" w:color="000000"/>
              <w:right w:val="single" w:sz="4"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r w:rsidRPr="00506C3F">
              <w:rPr>
                <w:rFonts w:ascii="Times New Roman" w:hAnsi="Times New Roman" w:cs="Times New Roman"/>
                <w:sz w:val="20"/>
                <w:szCs w:val="20"/>
              </w:rPr>
              <w:t>Savivaldybės priešgaisrinė tarnyba</w:t>
            </w:r>
          </w:p>
        </w:tc>
        <w:tc>
          <w:tcPr>
            <w:tcW w:w="1260" w:type="dxa"/>
            <w:tcBorders>
              <w:top w:val="single" w:sz="4" w:space="0" w:color="000000"/>
              <w:left w:val="single" w:sz="4" w:space="0" w:color="000000"/>
              <w:bottom w:val="single" w:sz="8" w:space="0" w:color="000000"/>
              <w:right w:val="single" w:sz="6"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p>
        </w:tc>
        <w:tc>
          <w:tcPr>
            <w:tcW w:w="900" w:type="dxa"/>
            <w:tcBorders>
              <w:top w:val="single" w:sz="4" w:space="0" w:color="000000"/>
              <w:left w:val="single" w:sz="8" w:space="0" w:color="000000"/>
              <w:bottom w:val="single" w:sz="8" w:space="0" w:color="000000"/>
              <w:right w:val="single" w:sz="6"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p>
        </w:tc>
        <w:tc>
          <w:tcPr>
            <w:tcW w:w="1080" w:type="dxa"/>
            <w:tcBorders>
              <w:top w:val="single" w:sz="4" w:space="0" w:color="000000"/>
              <w:left w:val="single" w:sz="8" w:space="0" w:color="000000"/>
              <w:bottom w:val="single" w:sz="8" w:space="0" w:color="000000"/>
              <w:right w:val="single" w:sz="6"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r w:rsidRPr="00506C3F">
              <w:rPr>
                <w:rFonts w:ascii="Times New Roman" w:hAnsi="Times New Roman" w:cs="Times New Roman"/>
                <w:sz w:val="20"/>
                <w:szCs w:val="20"/>
              </w:rPr>
              <w:t>1</w:t>
            </w:r>
          </w:p>
        </w:tc>
        <w:tc>
          <w:tcPr>
            <w:tcW w:w="900" w:type="dxa"/>
            <w:tcBorders>
              <w:top w:val="single" w:sz="4" w:space="0" w:color="000000"/>
              <w:left w:val="single" w:sz="8" w:space="0" w:color="000000"/>
              <w:bottom w:val="single" w:sz="8" w:space="0" w:color="000000"/>
              <w:right w:val="single" w:sz="6"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r>
              <w:rPr>
                <w:rFonts w:ascii="Times New Roman" w:hAnsi="Times New Roman" w:cs="Times New Roman"/>
                <w:sz w:val="20"/>
                <w:szCs w:val="20"/>
              </w:rPr>
              <w:t>30,</w:t>
            </w:r>
            <w:r w:rsidRPr="00506C3F">
              <w:rPr>
                <w:rFonts w:ascii="Times New Roman" w:hAnsi="Times New Roman" w:cs="Times New Roman"/>
                <w:sz w:val="20"/>
                <w:szCs w:val="20"/>
              </w:rPr>
              <w:t>00</w:t>
            </w:r>
          </w:p>
        </w:tc>
        <w:tc>
          <w:tcPr>
            <w:tcW w:w="1080" w:type="dxa"/>
            <w:tcBorders>
              <w:top w:val="single" w:sz="4" w:space="0" w:color="000000"/>
              <w:left w:val="single" w:sz="8" w:space="0" w:color="000000"/>
              <w:bottom w:val="single" w:sz="8" w:space="0" w:color="000000"/>
              <w:right w:val="single" w:sz="6"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r w:rsidRPr="00506C3F">
              <w:rPr>
                <w:rFonts w:ascii="Times New Roman" w:hAnsi="Times New Roman" w:cs="Times New Roman"/>
                <w:sz w:val="20"/>
                <w:szCs w:val="20"/>
              </w:rPr>
              <w:t>1</w:t>
            </w:r>
          </w:p>
        </w:tc>
        <w:tc>
          <w:tcPr>
            <w:tcW w:w="900" w:type="dxa"/>
            <w:tcBorders>
              <w:top w:val="single" w:sz="4" w:space="0" w:color="000000"/>
              <w:left w:val="single" w:sz="8" w:space="0" w:color="000000"/>
              <w:bottom w:val="single" w:sz="8" w:space="0" w:color="000000"/>
              <w:right w:val="single" w:sz="6" w:space="0" w:color="000000"/>
            </w:tcBorders>
            <w:shd w:val="clear" w:color="000000" w:fill="auto"/>
            <w:tcMar>
              <w:left w:w="-4" w:type="dxa"/>
              <w:right w:w="-4" w:type="dxa"/>
            </w:tcMar>
            <w:vAlign w:val="center"/>
          </w:tcPr>
          <w:p w:rsidR="00A81612" w:rsidRDefault="00A81612" w:rsidP="00BB0E87">
            <w:pPr>
              <w:jc w:val="center"/>
            </w:pPr>
            <w:r w:rsidRPr="00AE14FC">
              <w:rPr>
                <w:rFonts w:ascii="Times New Roman" w:hAnsi="Times New Roman" w:cs="Times New Roman"/>
                <w:sz w:val="20"/>
                <w:szCs w:val="20"/>
              </w:rPr>
              <w:t>30,00</w:t>
            </w:r>
          </w:p>
        </w:tc>
        <w:tc>
          <w:tcPr>
            <w:tcW w:w="1080" w:type="dxa"/>
            <w:tcBorders>
              <w:top w:val="single" w:sz="4" w:space="0" w:color="000000"/>
              <w:left w:val="single" w:sz="8" w:space="0" w:color="000000"/>
              <w:bottom w:val="single" w:sz="8" w:space="0" w:color="000000"/>
              <w:right w:val="single" w:sz="8" w:space="0" w:color="000000"/>
            </w:tcBorders>
            <w:shd w:val="clear" w:color="000000" w:fill="auto"/>
            <w:vAlign w:val="center"/>
          </w:tcPr>
          <w:p w:rsidR="00A81612" w:rsidRPr="00C10946" w:rsidRDefault="00C10946" w:rsidP="00BB0E87">
            <w:pPr>
              <w:jc w:val="center"/>
              <w:rPr>
                <w:rFonts w:ascii="Times New Roman" w:hAnsi="Times New Roman" w:cs="Times New Roman"/>
              </w:rPr>
            </w:pPr>
            <w:r w:rsidRPr="00C10946">
              <w:rPr>
                <w:rFonts w:ascii="Times New Roman" w:hAnsi="Times New Roman" w:cs="Times New Roman"/>
              </w:rPr>
              <w:t>1</w:t>
            </w:r>
          </w:p>
        </w:tc>
        <w:tc>
          <w:tcPr>
            <w:tcW w:w="900" w:type="dxa"/>
            <w:tcBorders>
              <w:top w:val="single" w:sz="4" w:space="0" w:color="000000"/>
              <w:left w:val="single" w:sz="8" w:space="0" w:color="000000"/>
              <w:bottom w:val="single" w:sz="8" w:space="0" w:color="000000"/>
              <w:right w:val="single" w:sz="4" w:space="0" w:color="000000"/>
            </w:tcBorders>
            <w:shd w:val="clear" w:color="000000" w:fill="auto"/>
            <w:vAlign w:val="center"/>
          </w:tcPr>
          <w:p w:rsidR="00A81612" w:rsidRPr="00506C3F" w:rsidRDefault="00A81612" w:rsidP="00BB0E87">
            <w:pPr>
              <w:jc w:val="center"/>
              <w:rPr>
                <w:sz w:val="20"/>
                <w:szCs w:val="20"/>
              </w:rPr>
            </w:pPr>
            <w:r w:rsidRPr="00AE14FC">
              <w:rPr>
                <w:rFonts w:ascii="Times New Roman" w:hAnsi="Times New Roman" w:cs="Times New Roman"/>
                <w:sz w:val="20"/>
                <w:szCs w:val="20"/>
              </w:rPr>
              <w:t>30,00</w:t>
            </w:r>
          </w:p>
        </w:tc>
        <w:tc>
          <w:tcPr>
            <w:tcW w:w="1080" w:type="dxa"/>
            <w:tcBorders>
              <w:top w:val="single" w:sz="4" w:space="0" w:color="000000"/>
              <w:left w:val="single" w:sz="8" w:space="0" w:color="000000"/>
              <w:bottom w:val="single" w:sz="8" w:space="0" w:color="000000"/>
              <w:right w:val="single" w:sz="4"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r w:rsidRPr="00506C3F">
              <w:rPr>
                <w:sz w:val="20"/>
                <w:szCs w:val="20"/>
              </w:rPr>
              <w:t>1</w:t>
            </w:r>
          </w:p>
        </w:tc>
        <w:tc>
          <w:tcPr>
            <w:tcW w:w="900" w:type="dxa"/>
            <w:tcBorders>
              <w:top w:val="single" w:sz="4" w:space="0" w:color="000000"/>
              <w:left w:val="single" w:sz="4" w:space="0" w:color="000000"/>
              <w:bottom w:val="single" w:sz="8" w:space="0" w:color="000000"/>
              <w:right w:val="single" w:sz="6"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r w:rsidRPr="00AE14FC">
              <w:rPr>
                <w:rFonts w:ascii="Times New Roman" w:hAnsi="Times New Roman" w:cs="Times New Roman"/>
                <w:sz w:val="20"/>
                <w:szCs w:val="20"/>
              </w:rPr>
              <w:t>30,00</w:t>
            </w:r>
          </w:p>
        </w:tc>
        <w:tc>
          <w:tcPr>
            <w:tcW w:w="720" w:type="dxa"/>
            <w:tcBorders>
              <w:top w:val="single" w:sz="4" w:space="0" w:color="000000"/>
              <w:left w:val="single" w:sz="8" w:space="0" w:color="000000"/>
              <w:bottom w:val="single" w:sz="8" w:space="0" w:color="000000"/>
              <w:right w:val="single" w:sz="4"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r w:rsidRPr="00506C3F">
              <w:rPr>
                <w:sz w:val="20"/>
                <w:szCs w:val="20"/>
              </w:rPr>
              <w:t>1</w:t>
            </w:r>
          </w:p>
        </w:tc>
        <w:tc>
          <w:tcPr>
            <w:tcW w:w="900" w:type="dxa"/>
            <w:tcBorders>
              <w:top w:val="single" w:sz="4" w:space="0" w:color="000000"/>
              <w:left w:val="single" w:sz="4" w:space="0" w:color="000000"/>
              <w:bottom w:val="single" w:sz="8" w:space="0" w:color="000000"/>
              <w:right w:val="single" w:sz="4"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r w:rsidRPr="00AE14FC">
              <w:rPr>
                <w:rFonts w:ascii="Times New Roman" w:hAnsi="Times New Roman" w:cs="Times New Roman"/>
                <w:sz w:val="20"/>
                <w:szCs w:val="20"/>
              </w:rPr>
              <w:t>30,00</w:t>
            </w:r>
          </w:p>
        </w:tc>
      </w:tr>
      <w:tr w:rsidR="00A81612" w:rsidRPr="00A212EA">
        <w:tblPrEx>
          <w:tblCellMar>
            <w:top w:w="0" w:type="dxa"/>
            <w:bottom w:w="0" w:type="dxa"/>
          </w:tblCellMar>
        </w:tblPrEx>
        <w:trPr>
          <w:trHeight w:val="2322"/>
        </w:trPr>
        <w:tc>
          <w:tcPr>
            <w:tcW w:w="1375" w:type="dxa"/>
            <w:tcBorders>
              <w:top w:val="single" w:sz="4" w:space="0" w:color="000000"/>
              <w:left w:val="single" w:sz="4" w:space="0" w:color="000000"/>
              <w:bottom w:val="single" w:sz="8" w:space="0" w:color="000000"/>
              <w:right w:val="single" w:sz="6" w:space="0" w:color="000000"/>
            </w:tcBorders>
            <w:shd w:val="clear" w:color="000000" w:fill="auto"/>
            <w:tcMar>
              <w:left w:w="-4" w:type="dxa"/>
              <w:right w:w="-4" w:type="dxa"/>
            </w:tcMar>
            <w:vAlign w:val="center"/>
          </w:tcPr>
          <w:p w:rsidR="00A81612" w:rsidRPr="00506C3F" w:rsidRDefault="00A81612" w:rsidP="00BB0E87">
            <w:pPr>
              <w:ind w:left="234" w:hanging="180"/>
              <w:jc w:val="center"/>
              <w:rPr>
                <w:rFonts w:ascii="Times New Roman" w:hAnsi="Times New Roman" w:cs="Times New Roman"/>
                <w:sz w:val="20"/>
                <w:szCs w:val="20"/>
              </w:rPr>
            </w:pPr>
            <w:r w:rsidRPr="00506C3F">
              <w:rPr>
                <w:rFonts w:ascii="Times New Roman" w:hAnsi="Times New Roman" w:cs="Times New Roman"/>
                <w:sz w:val="20"/>
                <w:szCs w:val="20"/>
              </w:rPr>
              <w:t>2.Kvėpavimo takų ir veido apsaugos priemonės</w:t>
            </w:r>
          </w:p>
          <w:p w:rsidR="00A81612" w:rsidRPr="00506C3F" w:rsidRDefault="00A81612" w:rsidP="00BB0E87">
            <w:pPr>
              <w:ind w:left="234" w:hanging="180"/>
              <w:jc w:val="center"/>
              <w:rPr>
                <w:sz w:val="20"/>
                <w:szCs w:val="20"/>
              </w:rPr>
            </w:pPr>
            <w:r w:rsidRPr="00506C3F">
              <w:rPr>
                <w:rFonts w:ascii="Times New Roman" w:hAnsi="Times New Roman" w:cs="Times New Roman"/>
                <w:sz w:val="20"/>
                <w:szCs w:val="20"/>
              </w:rPr>
              <w:t>(suslėgto oro kvėpavimo aparatai)</w:t>
            </w:r>
          </w:p>
        </w:tc>
        <w:tc>
          <w:tcPr>
            <w:tcW w:w="1155" w:type="dxa"/>
            <w:tcBorders>
              <w:top w:val="single" w:sz="4" w:space="0" w:color="000000"/>
              <w:left w:val="single" w:sz="4" w:space="0" w:color="000000"/>
              <w:bottom w:val="single" w:sz="8" w:space="0" w:color="000000"/>
              <w:right w:val="single" w:sz="4"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r w:rsidRPr="00506C3F">
              <w:rPr>
                <w:rFonts w:ascii="Times New Roman" w:hAnsi="Times New Roman" w:cs="Times New Roman"/>
                <w:sz w:val="20"/>
                <w:szCs w:val="20"/>
              </w:rPr>
              <w:t>Savivaldybės priešgaisrinė tarnyba</w:t>
            </w:r>
          </w:p>
        </w:tc>
        <w:tc>
          <w:tcPr>
            <w:tcW w:w="1260" w:type="dxa"/>
            <w:tcBorders>
              <w:top w:val="single" w:sz="4" w:space="0" w:color="000000"/>
              <w:left w:val="single" w:sz="4" w:space="0" w:color="000000"/>
              <w:bottom w:val="single" w:sz="6" w:space="0" w:color="000000"/>
              <w:right w:val="single" w:sz="6" w:space="0" w:color="000000"/>
            </w:tcBorders>
            <w:shd w:val="clear" w:color="000000" w:fill="auto"/>
            <w:tcMar>
              <w:left w:w="-4" w:type="dxa"/>
              <w:right w:w="-4" w:type="dxa"/>
            </w:tcMar>
            <w:vAlign w:val="center"/>
          </w:tcPr>
          <w:p w:rsidR="00A81612" w:rsidRPr="00506C3F" w:rsidRDefault="00A81612" w:rsidP="00BB0E87">
            <w:pPr>
              <w:jc w:val="center"/>
              <w:rPr>
                <w:rFonts w:ascii="Times New Roman" w:hAnsi="Times New Roman" w:cs="Times New Roman"/>
                <w:sz w:val="20"/>
                <w:szCs w:val="20"/>
              </w:rPr>
            </w:pPr>
            <w:r w:rsidRPr="00506C3F">
              <w:rPr>
                <w:rFonts w:ascii="Times New Roman" w:hAnsi="Times New Roman" w:cs="Times New Roman"/>
                <w:sz w:val="20"/>
                <w:szCs w:val="20"/>
              </w:rPr>
              <w:t>2 komplektai</w:t>
            </w:r>
          </w:p>
          <w:p w:rsidR="00A81612" w:rsidRPr="00506C3F" w:rsidRDefault="00A81612" w:rsidP="00BB0E87">
            <w:pPr>
              <w:jc w:val="center"/>
              <w:rPr>
                <w:rFonts w:ascii="Times New Roman" w:hAnsi="Times New Roman" w:cs="Times New Roman"/>
                <w:sz w:val="20"/>
                <w:szCs w:val="20"/>
              </w:rPr>
            </w:pPr>
            <w:r w:rsidRPr="00506C3F">
              <w:rPr>
                <w:rFonts w:ascii="Times New Roman" w:hAnsi="Times New Roman" w:cs="Times New Roman"/>
                <w:sz w:val="20"/>
                <w:szCs w:val="20"/>
              </w:rPr>
              <w:t>(4 aparatai, 18 kaukių, 8 balionai)</w:t>
            </w:r>
          </w:p>
          <w:p w:rsidR="00A81612" w:rsidRPr="00506C3F" w:rsidRDefault="00A81612" w:rsidP="00BB0E87">
            <w:pPr>
              <w:jc w:val="center"/>
              <w:rPr>
                <w:sz w:val="20"/>
                <w:szCs w:val="20"/>
              </w:rPr>
            </w:pPr>
          </w:p>
        </w:tc>
        <w:tc>
          <w:tcPr>
            <w:tcW w:w="900" w:type="dxa"/>
            <w:tcBorders>
              <w:top w:val="single" w:sz="4" w:space="0" w:color="000000"/>
              <w:left w:val="single" w:sz="8" w:space="0" w:color="000000"/>
              <w:bottom w:val="single" w:sz="6" w:space="0" w:color="000000"/>
              <w:right w:val="single" w:sz="6"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r w:rsidRPr="00506C3F">
              <w:rPr>
                <w:rFonts w:ascii="Times New Roman" w:hAnsi="Times New Roman" w:cs="Times New Roman"/>
                <w:sz w:val="20"/>
                <w:szCs w:val="20"/>
              </w:rPr>
              <w:t>14,00</w:t>
            </w:r>
          </w:p>
        </w:tc>
        <w:tc>
          <w:tcPr>
            <w:tcW w:w="1080" w:type="dxa"/>
            <w:tcBorders>
              <w:top w:val="single" w:sz="4" w:space="0" w:color="000000"/>
              <w:left w:val="single" w:sz="8" w:space="0" w:color="000000"/>
              <w:bottom w:val="single" w:sz="6" w:space="0" w:color="000000"/>
              <w:right w:val="single" w:sz="6" w:space="0" w:color="000000"/>
            </w:tcBorders>
            <w:shd w:val="clear" w:color="000000" w:fill="auto"/>
            <w:tcMar>
              <w:left w:w="-4" w:type="dxa"/>
              <w:right w:w="-4" w:type="dxa"/>
            </w:tcMar>
            <w:vAlign w:val="center"/>
          </w:tcPr>
          <w:p w:rsidR="00A81612" w:rsidRPr="00506C3F" w:rsidRDefault="00A81612" w:rsidP="00BB0E87">
            <w:pPr>
              <w:jc w:val="center"/>
              <w:rPr>
                <w:rFonts w:ascii="Times New Roman" w:hAnsi="Times New Roman" w:cs="Times New Roman"/>
                <w:sz w:val="20"/>
                <w:szCs w:val="20"/>
              </w:rPr>
            </w:pPr>
            <w:r w:rsidRPr="00506C3F">
              <w:rPr>
                <w:rFonts w:ascii="Times New Roman" w:hAnsi="Times New Roman" w:cs="Times New Roman"/>
                <w:sz w:val="20"/>
                <w:szCs w:val="20"/>
              </w:rPr>
              <w:t>2 komplektai</w:t>
            </w:r>
          </w:p>
          <w:p w:rsidR="00A81612" w:rsidRPr="00506C3F" w:rsidRDefault="00A81612" w:rsidP="00BB0E87">
            <w:pPr>
              <w:jc w:val="center"/>
              <w:rPr>
                <w:sz w:val="20"/>
                <w:szCs w:val="20"/>
              </w:rPr>
            </w:pPr>
            <w:r w:rsidRPr="00506C3F">
              <w:rPr>
                <w:rFonts w:ascii="Times New Roman" w:hAnsi="Times New Roman" w:cs="Times New Roman"/>
                <w:sz w:val="20"/>
                <w:szCs w:val="20"/>
              </w:rPr>
              <w:t>(4 aparatai, 18 kaukių, 8 balionai)</w:t>
            </w:r>
          </w:p>
          <w:p w:rsidR="00A81612" w:rsidRPr="00506C3F" w:rsidRDefault="00A81612" w:rsidP="00BB0E87">
            <w:pPr>
              <w:jc w:val="center"/>
              <w:rPr>
                <w:sz w:val="20"/>
                <w:szCs w:val="20"/>
              </w:rPr>
            </w:pPr>
          </w:p>
        </w:tc>
        <w:tc>
          <w:tcPr>
            <w:tcW w:w="900" w:type="dxa"/>
            <w:tcBorders>
              <w:top w:val="single" w:sz="4" w:space="0" w:color="000000"/>
              <w:left w:val="single" w:sz="8" w:space="0" w:color="000000"/>
              <w:bottom w:val="single" w:sz="6" w:space="0" w:color="000000"/>
              <w:right w:val="single" w:sz="6"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r w:rsidRPr="00506C3F">
              <w:rPr>
                <w:rFonts w:ascii="Times New Roman" w:hAnsi="Times New Roman" w:cs="Times New Roman"/>
                <w:sz w:val="20"/>
                <w:szCs w:val="20"/>
              </w:rPr>
              <w:t>14,00</w:t>
            </w:r>
          </w:p>
        </w:tc>
        <w:tc>
          <w:tcPr>
            <w:tcW w:w="1080" w:type="dxa"/>
            <w:tcBorders>
              <w:top w:val="single" w:sz="4" w:space="0" w:color="000000"/>
              <w:left w:val="single" w:sz="8" w:space="0" w:color="000000"/>
              <w:bottom w:val="single" w:sz="6" w:space="0" w:color="000000"/>
              <w:right w:val="single" w:sz="6" w:space="0" w:color="000000"/>
            </w:tcBorders>
            <w:shd w:val="clear" w:color="000000" w:fill="auto"/>
            <w:tcMar>
              <w:left w:w="-4" w:type="dxa"/>
              <w:right w:w="-4" w:type="dxa"/>
            </w:tcMar>
            <w:vAlign w:val="center"/>
          </w:tcPr>
          <w:p w:rsidR="00A81612" w:rsidRPr="00506C3F" w:rsidRDefault="00A81612" w:rsidP="00BB0E87">
            <w:pPr>
              <w:jc w:val="center"/>
              <w:rPr>
                <w:rFonts w:ascii="Times New Roman" w:hAnsi="Times New Roman" w:cs="Times New Roman"/>
                <w:sz w:val="20"/>
                <w:szCs w:val="20"/>
              </w:rPr>
            </w:pPr>
            <w:r w:rsidRPr="00506C3F">
              <w:rPr>
                <w:rFonts w:ascii="Times New Roman" w:hAnsi="Times New Roman" w:cs="Times New Roman"/>
                <w:sz w:val="20"/>
                <w:szCs w:val="20"/>
              </w:rPr>
              <w:t>1 komplektas</w:t>
            </w:r>
          </w:p>
          <w:p w:rsidR="00A81612" w:rsidRPr="00506C3F" w:rsidRDefault="00A81612" w:rsidP="00BB0E87">
            <w:pPr>
              <w:jc w:val="center"/>
              <w:rPr>
                <w:sz w:val="20"/>
                <w:szCs w:val="20"/>
              </w:rPr>
            </w:pPr>
            <w:r w:rsidRPr="00506C3F">
              <w:rPr>
                <w:rFonts w:ascii="Times New Roman" w:hAnsi="Times New Roman" w:cs="Times New Roman"/>
                <w:sz w:val="20"/>
                <w:szCs w:val="20"/>
              </w:rPr>
              <w:t>(2 aparatai, 9 kaukės, 4 balionai)</w:t>
            </w:r>
          </w:p>
        </w:tc>
        <w:tc>
          <w:tcPr>
            <w:tcW w:w="900" w:type="dxa"/>
            <w:tcBorders>
              <w:top w:val="single" w:sz="4" w:space="0" w:color="000000"/>
              <w:left w:val="single" w:sz="8" w:space="0" w:color="000000"/>
              <w:bottom w:val="single" w:sz="6" w:space="0" w:color="000000"/>
              <w:right w:val="single" w:sz="6"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r w:rsidRPr="00506C3F">
              <w:rPr>
                <w:rFonts w:ascii="Times New Roman" w:hAnsi="Times New Roman" w:cs="Times New Roman"/>
                <w:sz w:val="20"/>
                <w:szCs w:val="20"/>
              </w:rPr>
              <w:t>7,00</w:t>
            </w:r>
          </w:p>
        </w:tc>
        <w:tc>
          <w:tcPr>
            <w:tcW w:w="1080" w:type="dxa"/>
            <w:tcBorders>
              <w:top w:val="single" w:sz="4" w:space="0" w:color="000000"/>
              <w:left w:val="single" w:sz="8" w:space="0" w:color="000000"/>
              <w:bottom w:val="single" w:sz="6" w:space="0" w:color="000000"/>
              <w:right w:val="single" w:sz="8" w:space="0" w:color="000000"/>
            </w:tcBorders>
            <w:shd w:val="clear" w:color="000000" w:fill="auto"/>
            <w:vAlign w:val="center"/>
          </w:tcPr>
          <w:p w:rsidR="00A81612" w:rsidRPr="00C10946" w:rsidRDefault="00A81612" w:rsidP="00BB0E87">
            <w:pPr>
              <w:jc w:val="center"/>
              <w:rPr>
                <w:rFonts w:ascii="Times New Roman" w:hAnsi="Times New Roman" w:cs="Times New Roman"/>
                <w:sz w:val="20"/>
                <w:szCs w:val="20"/>
              </w:rPr>
            </w:pPr>
            <w:r w:rsidRPr="00C10946">
              <w:rPr>
                <w:rFonts w:ascii="Times New Roman" w:hAnsi="Times New Roman" w:cs="Times New Roman"/>
                <w:sz w:val="20"/>
                <w:szCs w:val="20"/>
              </w:rPr>
              <w:t>1 komplektas</w:t>
            </w:r>
          </w:p>
          <w:p w:rsidR="00A81612" w:rsidRPr="00C10946" w:rsidRDefault="00A81612" w:rsidP="00BB0E87">
            <w:pPr>
              <w:jc w:val="center"/>
              <w:rPr>
                <w:rFonts w:ascii="Times New Roman" w:hAnsi="Times New Roman" w:cs="Times New Roman"/>
                <w:sz w:val="20"/>
                <w:szCs w:val="20"/>
              </w:rPr>
            </w:pPr>
            <w:r w:rsidRPr="00C10946">
              <w:rPr>
                <w:rFonts w:ascii="Times New Roman" w:hAnsi="Times New Roman" w:cs="Times New Roman"/>
                <w:sz w:val="20"/>
                <w:szCs w:val="20"/>
              </w:rPr>
              <w:t>(2 aparatai, 9 kaukės, 4 balionai)</w:t>
            </w:r>
          </w:p>
        </w:tc>
        <w:tc>
          <w:tcPr>
            <w:tcW w:w="900" w:type="dxa"/>
            <w:tcBorders>
              <w:top w:val="single" w:sz="4" w:space="0" w:color="000000"/>
              <w:left w:val="single" w:sz="8" w:space="0" w:color="000000"/>
              <w:bottom w:val="single" w:sz="6" w:space="0" w:color="000000"/>
              <w:right w:val="single" w:sz="4" w:space="0" w:color="000000"/>
            </w:tcBorders>
            <w:shd w:val="clear" w:color="000000" w:fill="auto"/>
            <w:vAlign w:val="center"/>
          </w:tcPr>
          <w:p w:rsidR="00A81612" w:rsidRPr="00506C3F" w:rsidRDefault="00A81612" w:rsidP="00BB0E87">
            <w:pPr>
              <w:jc w:val="center"/>
              <w:rPr>
                <w:sz w:val="20"/>
                <w:szCs w:val="20"/>
              </w:rPr>
            </w:pPr>
            <w:r w:rsidRPr="00506C3F">
              <w:rPr>
                <w:rFonts w:ascii="Times New Roman" w:hAnsi="Times New Roman" w:cs="Times New Roman"/>
                <w:sz w:val="20"/>
                <w:szCs w:val="20"/>
              </w:rPr>
              <w:t>7,00</w:t>
            </w:r>
          </w:p>
        </w:tc>
        <w:tc>
          <w:tcPr>
            <w:tcW w:w="1080" w:type="dxa"/>
            <w:tcBorders>
              <w:top w:val="single" w:sz="4" w:space="0" w:color="000000"/>
              <w:left w:val="single" w:sz="8" w:space="0" w:color="000000"/>
              <w:bottom w:val="single" w:sz="6" w:space="0" w:color="000000"/>
              <w:right w:val="single" w:sz="4" w:space="0" w:color="000000"/>
            </w:tcBorders>
            <w:shd w:val="clear" w:color="000000" w:fill="auto"/>
            <w:tcMar>
              <w:left w:w="-4" w:type="dxa"/>
              <w:right w:w="-4" w:type="dxa"/>
            </w:tcMar>
            <w:vAlign w:val="center"/>
          </w:tcPr>
          <w:p w:rsidR="00A81612" w:rsidRPr="00506C3F" w:rsidRDefault="00A81612" w:rsidP="00BB0E87">
            <w:pPr>
              <w:jc w:val="center"/>
              <w:rPr>
                <w:rFonts w:ascii="Times New Roman" w:hAnsi="Times New Roman" w:cs="Times New Roman"/>
                <w:sz w:val="20"/>
                <w:szCs w:val="20"/>
              </w:rPr>
            </w:pPr>
            <w:r w:rsidRPr="00506C3F">
              <w:rPr>
                <w:rFonts w:ascii="Times New Roman" w:hAnsi="Times New Roman" w:cs="Times New Roman"/>
                <w:sz w:val="20"/>
                <w:szCs w:val="20"/>
              </w:rPr>
              <w:t>1 komplektas</w:t>
            </w:r>
          </w:p>
          <w:p w:rsidR="00A81612" w:rsidRPr="00506C3F" w:rsidRDefault="00A81612" w:rsidP="00BB0E87">
            <w:pPr>
              <w:jc w:val="center"/>
              <w:rPr>
                <w:sz w:val="20"/>
                <w:szCs w:val="20"/>
              </w:rPr>
            </w:pPr>
            <w:r w:rsidRPr="00506C3F">
              <w:rPr>
                <w:rFonts w:ascii="Times New Roman" w:hAnsi="Times New Roman" w:cs="Times New Roman"/>
                <w:sz w:val="20"/>
                <w:szCs w:val="20"/>
              </w:rPr>
              <w:t>(2 aparatai, 9 kaukės, 4 balionai)</w:t>
            </w:r>
          </w:p>
        </w:tc>
        <w:tc>
          <w:tcPr>
            <w:tcW w:w="900" w:type="dxa"/>
            <w:tcBorders>
              <w:top w:val="single" w:sz="4" w:space="0" w:color="000000"/>
              <w:left w:val="single" w:sz="4" w:space="0" w:color="000000"/>
              <w:bottom w:val="single" w:sz="6" w:space="0" w:color="000000"/>
              <w:right w:val="single" w:sz="6"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r w:rsidRPr="00506C3F">
              <w:rPr>
                <w:rFonts w:ascii="Times New Roman" w:hAnsi="Times New Roman" w:cs="Times New Roman"/>
                <w:sz w:val="20"/>
                <w:szCs w:val="20"/>
              </w:rPr>
              <w:t>7,00</w:t>
            </w:r>
          </w:p>
        </w:tc>
        <w:tc>
          <w:tcPr>
            <w:tcW w:w="720" w:type="dxa"/>
            <w:tcBorders>
              <w:top w:val="single" w:sz="4" w:space="0" w:color="000000"/>
              <w:left w:val="single" w:sz="8" w:space="0" w:color="000000"/>
              <w:bottom w:val="single" w:sz="6" w:space="0" w:color="000000"/>
              <w:right w:val="single" w:sz="4"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p>
        </w:tc>
        <w:tc>
          <w:tcPr>
            <w:tcW w:w="900" w:type="dxa"/>
            <w:tcBorders>
              <w:top w:val="single" w:sz="4" w:space="0" w:color="000000"/>
              <w:left w:val="single" w:sz="4" w:space="0" w:color="000000"/>
              <w:bottom w:val="single" w:sz="6" w:space="0" w:color="000000"/>
              <w:right w:val="single" w:sz="4" w:space="0" w:color="000000"/>
            </w:tcBorders>
            <w:shd w:val="clear" w:color="000000" w:fill="auto"/>
            <w:tcMar>
              <w:left w:w="-4" w:type="dxa"/>
              <w:right w:w="-4" w:type="dxa"/>
            </w:tcMar>
            <w:vAlign w:val="center"/>
          </w:tcPr>
          <w:p w:rsidR="00A81612" w:rsidRPr="00506C3F" w:rsidRDefault="00A81612" w:rsidP="00BB0E87">
            <w:pPr>
              <w:jc w:val="center"/>
              <w:rPr>
                <w:sz w:val="20"/>
                <w:szCs w:val="20"/>
              </w:rPr>
            </w:pPr>
          </w:p>
        </w:tc>
      </w:tr>
      <w:tr w:rsidR="00A81612" w:rsidRPr="00A212EA">
        <w:tblPrEx>
          <w:tblCellMar>
            <w:top w:w="0" w:type="dxa"/>
            <w:bottom w:w="0" w:type="dxa"/>
          </w:tblCellMar>
        </w:tblPrEx>
        <w:trPr>
          <w:trHeight w:val="1"/>
        </w:trPr>
        <w:tc>
          <w:tcPr>
            <w:tcW w:w="2530" w:type="dxa"/>
            <w:gridSpan w:val="2"/>
            <w:tcBorders>
              <w:top w:val="single" w:sz="4" w:space="0" w:color="000000"/>
              <w:left w:val="single" w:sz="4" w:space="0" w:color="000000"/>
              <w:bottom w:val="single" w:sz="6" w:space="0" w:color="000000"/>
              <w:right w:val="single" w:sz="4" w:space="0" w:color="000000"/>
            </w:tcBorders>
            <w:shd w:val="clear" w:color="000000" w:fill="auto"/>
            <w:tcMar>
              <w:left w:w="-4" w:type="dxa"/>
              <w:right w:w="-4" w:type="dxa"/>
            </w:tcMar>
          </w:tcPr>
          <w:p w:rsidR="00A81612" w:rsidRPr="00A212EA" w:rsidRDefault="00A81612" w:rsidP="00C9356E">
            <w:r>
              <w:rPr>
                <w:rFonts w:ascii="Times New Roman" w:hAnsi="Times New Roman" w:cs="Times New Roman"/>
                <w:b/>
                <w:bCs/>
                <w:sz w:val="24"/>
                <w:szCs w:val="24"/>
              </w:rPr>
              <w:t>Bendra suma (tūkst. Eur.)</w:t>
            </w:r>
          </w:p>
        </w:tc>
        <w:tc>
          <w:tcPr>
            <w:tcW w:w="1260" w:type="dxa"/>
            <w:tcBorders>
              <w:top w:val="single" w:sz="4" w:space="0" w:color="000000"/>
              <w:left w:val="single" w:sz="4" w:space="0" w:color="000000"/>
              <w:bottom w:val="single" w:sz="4" w:space="0" w:color="000000"/>
              <w:right w:val="single" w:sz="6" w:space="0" w:color="000000"/>
            </w:tcBorders>
            <w:shd w:val="clear" w:color="000000" w:fill="auto"/>
            <w:tcMar>
              <w:left w:w="-4" w:type="dxa"/>
              <w:right w:w="-4" w:type="dxa"/>
            </w:tcMar>
          </w:tcPr>
          <w:p w:rsidR="00A81612" w:rsidRDefault="00A81612" w:rsidP="00C9356E">
            <w:pPr>
              <w:jc w:val="center"/>
            </w:pPr>
          </w:p>
        </w:tc>
        <w:tc>
          <w:tcPr>
            <w:tcW w:w="900" w:type="dxa"/>
            <w:tcBorders>
              <w:top w:val="single" w:sz="4" w:space="0" w:color="000000"/>
              <w:left w:val="single" w:sz="8" w:space="0" w:color="000000"/>
              <w:bottom w:val="single" w:sz="4" w:space="0" w:color="000000"/>
              <w:right w:val="single" w:sz="6" w:space="0" w:color="000000"/>
            </w:tcBorders>
            <w:shd w:val="clear" w:color="000000" w:fill="auto"/>
            <w:tcMar>
              <w:left w:w="-4" w:type="dxa"/>
              <w:right w:w="-4" w:type="dxa"/>
            </w:tcMar>
          </w:tcPr>
          <w:p w:rsidR="00A81612" w:rsidRPr="00A212EA" w:rsidRDefault="00A81612" w:rsidP="00BB0E87">
            <w:pPr>
              <w:jc w:val="center"/>
            </w:pPr>
            <w:r>
              <w:rPr>
                <w:rFonts w:ascii="Times New Roman" w:hAnsi="Times New Roman" w:cs="Times New Roman"/>
                <w:sz w:val="24"/>
                <w:szCs w:val="24"/>
              </w:rPr>
              <w:t>14,00</w:t>
            </w:r>
          </w:p>
        </w:tc>
        <w:tc>
          <w:tcPr>
            <w:tcW w:w="1080" w:type="dxa"/>
            <w:tcBorders>
              <w:top w:val="single" w:sz="4" w:space="0" w:color="000000"/>
              <w:left w:val="single" w:sz="8" w:space="0" w:color="000000"/>
              <w:bottom w:val="single" w:sz="4" w:space="0" w:color="000000"/>
              <w:right w:val="single" w:sz="6" w:space="0" w:color="000000"/>
            </w:tcBorders>
            <w:shd w:val="clear" w:color="000000" w:fill="auto"/>
            <w:tcMar>
              <w:left w:w="-4" w:type="dxa"/>
              <w:right w:w="-4" w:type="dxa"/>
            </w:tcMar>
          </w:tcPr>
          <w:p w:rsidR="00A81612" w:rsidRDefault="00A81612" w:rsidP="00BB0E87">
            <w:pPr>
              <w:jc w:val="center"/>
            </w:pPr>
          </w:p>
        </w:tc>
        <w:tc>
          <w:tcPr>
            <w:tcW w:w="900" w:type="dxa"/>
            <w:tcBorders>
              <w:top w:val="single" w:sz="4" w:space="0" w:color="000000"/>
              <w:left w:val="single" w:sz="8" w:space="0" w:color="000000"/>
              <w:bottom w:val="single" w:sz="4" w:space="0" w:color="000000"/>
              <w:right w:val="single" w:sz="6" w:space="0" w:color="000000"/>
            </w:tcBorders>
            <w:shd w:val="clear" w:color="000000" w:fill="auto"/>
            <w:tcMar>
              <w:left w:w="-4" w:type="dxa"/>
              <w:right w:w="-4" w:type="dxa"/>
            </w:tcMar>
          </w:tcPr>
          <w:p w:rsidR="00A81612" w:rsidRPr="00A212EA" w:rsidRDefault="00A81612" w:rsidP="00BB0E87">
            <w:pPr>
              <w:jc w:val="center"/>
            </w:pPr>
            <w:r>
              <w:rPr>
                <w:rFonts w:ascii="Times New Roman" w:hAnsi="Times New Roman" w:cs="Times New Roman"/>
                <w:sz w:val="24"/>
                <w:szCs w:val="24"/>
              </w:rPr>
              <w:t>44,00</w:t>
            </w:r>
          </w:p>
        </w:tc>
        <w:tc>
          <w:tcPr>
            <w:tcW w:w="1080" w:type="dxa"/>
            <w:tcBorders>
              <w:top w:val="single" w:sz="4" w:space="0" w:color="000000"/>
              <w:left w:val="single" w:sz="8" w:space="0" w:color="000000"/>
              <w:bottom w:val="single" w:sz="4" w:space="0" w:color="000000"/>
              <w:right w:val="single" w:sz="6" w:space="0" w:color="000000"/>
            </w:tcBorders>
            <w:shd w:val="clear" w:color="000000" w:fill="auto"/>
            <w:tcMar>
              <w:left w:w="-4" w:type="dxa"/>
              <w:right w:w="-4" w:type="dxa"/>
            </w:tcMar>
          </w:tcPr>
          <w:p w:rsidR="00A81612" w:rsidRDefault="00A81612" w:rsidP="00BB0E87">
            <w:pPr>
              <w:jc w:val="center"/>
            </w:pPr>
          </w:p>
        </w:tc>
        <w:tc>
          <w:tcPr>
            <w:tcW w:w="900" w:type="dxa"/>
            <w:tcBorders>
              <w:top w:val="single" w:sz="4" w:space="0" w:color="000000"/>
              <w:left w:val="single" w:sz="8" w:space="0" w:color="000000"/>
              <w:bottom w:val="single" w:sz="4" w:space="0" w:color="000000"/>
              <w:right w:val="single" w:sz="6" w:space="0" w:color="000000"/>
            </w:tcBorders>
            <w:shd w:val="clear" w:color="000000" w:fill="auto"/>
            <w:tcMar>
              <w:left w:w="-4" w:type="dxa"/>
              <w:right w:w="-4" w:type="dxa"/>
            </w:tcMar>
          </w:tcPr>
          <w:p w:rsidR="00A81612" w:rsidRPr="00A212EA" w:rsidRDefault="00A81612" w:rsidP="00BB0E87">
            <w:pPr>
              <w:jc w:val="center"/>
            </w:pPr>
            <w:r>
              <w:rPr>
                <w:rFonts w:ascii="Times New Roman" w:hAnsi="Times New Roman" w:cs="Times New Roman"/>
                <w:sz w:val="24"/>
                <w:szCs w:val="24"/>
              </w:rPr>
              <w:t>37,00</w:t>
            </w:r>
          </w:p>
        </w:tc>
        <w:tc>
          <w:tcPr>
            <w:tcW w:w="1080" w:type="dxa"/>
            <w:tcBorders>
              <w:top w:val="single" w:sz="4" w:space="0" w:color="000000"/>
              <w:left w:val="single" w:sz="8" w:space="0" w:color="000000"/>
              <w:bottom w:val="single" w:sz="4" w:space="0" w:color="000000"/>
              <w:right w:val="single" w:sz="4" w:space="0" w:color="000000"/>
            </w:tcBorders>
            <w:shd w:val="clear" w:color="000000" w:fill="auto"/>
            <w:tcMar>
              <w:left w:w="-4" w:type="dxa"/>
              <w:right w:w="-4" w:type="dxa"/>
            </w:tcMar>
          </w:tcPr>
          <w:p w:rsidR="00A81612" w:rsidRDefault="00A81612" w:rsidP="00BB0E87">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000000" w:fill="auto"/>
          </w:tcPr>
          <w:p w:rsidR="00A81612" w:rsidRDefault="00A81612" w:rsidP="00BB0E87">
            <w:pPr>
              <w:jc w:val="center"/>
            </w:pPr>
          </w:p>
        </w:tc>
        <w:tc>
          <w:tcPr>
            <w:tcW w:w="1080" w:type="dxa"/>
            <w:tcBorders>
              <w:top w:val="single" w:sz="4" w:space="0" w:color="000000"/>
              <w:left w:val="single" w:sz="4" w:space="0" w:color="000000"/>
              <w:bottom w:val="single" w:sz="4" w:space="0" w:color="000000"/>
              <w:right w:val="single" w:sz="6" w:space="0" w:color="000000"/>
            </w:tcBorders>
            <w:shd w:val="clear" w:color="000000" w:fill="auto"/>
          </w:tcPr>
          <w:p w:rsidR="00A81612" w:rsidRPr="00A212EA" w:rsidRDefault="00A81612" w:rsidP="00BB0E87">
            <w:pPr>
              <w:jc w:val="center"/>
            </w:pPr>
            <w:r>
              <w:rPr>
                <w:rFonts w:ascii="Times New Roman" w:hAnsi="Times New Roman" w:cs="Times New Roman"/>
                <w:sz w:val="24"/>
                <w:szCs w:val="24"/>
              </w:rPr>
              <w:t>37,00</w:t>
            </w:r>
          </w:p>
        </w:tc>
        <w:tc>
          <w:tcPr>
            <w:tcW w:w="900" w:type="dxa"/>
            <w:tcBorders>
              <w:top w:val="single" w:sz="4" w:space="0" w:color="000000"/>
              <w:left w:val="single" w:sz="4" w:space="0" w:color="000000"/>
              <w:bottom w:val="single" w:sz="4" w:space="0" w:color="000000"/>
              <w:right w:val="single" w:sz="6" w:space="0" w:color="000000"/>
            </w:tcBorders>
            <w:shd w:val="clear" w:color="000000" w:fill="auto"/>
            <w:tcMar>
              <w:left w:w="-4" w:type="dxa"/>
              <w:right w:w="-4" w:type="dxa"/>
            </w:tcMar>
          </w:tcPr>
          <w:p w:rsidR="00A81612" w:rsidRPr="00A212EA" w:rsidRDefault="00A81612" w:rsidP="00BB0E87">
            <w:pPr>
              <w:jc w:val="center"/>
            </w:pPr>
            <w:r>
              <w:rPr>
                <w:rFonts w:ascii="Times New Roman" w:hAnsi="Times New Roman" w:cs="Times New Roman"/>
                <w:sz w:val="24"/>
                <w:szCs w:val="24"/>
              </w:rPr>
              <w:t>37,00</w:t>
            </w:r>
          </w:p>
        </w:tc>
        <w:tc>
          <w:tcPr>
            <w:tcW w:w="720" w:type="dxa"/>
            <w:tcBorders>
              <w:top w:val="single" w:sz="4" w:space="0" w:color="000000"/>
              <w:left w:val="single" w:sz="8" w:space="0" w:color="000000"/>
              <w:bottom w:val="single" w:sz="4" w:space="0" w:color="000000"/>
              <w:right w:val="single" w:sz="4" w:space="0" w:color="000000"/>
            </w:tcBorders>
            <w:shd w:val="clear" w:color="000000" w:fill="auto"/>
            <w:tcMar>
              <w:left w:w="-4" w:type="dxa"/>
              <w:right w:w="-4" w:type="dxa"/>
            </w:tcMar>
          </w:tcPr>
          <w:p w:rsidR="00A81612" w:rsidRDefault="00A81612" w:rsidP="00BB0E87">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000000" w:fill="auto"/>
            <w:tcMar>
              <w:left w:w="-4" w:type="dxa"/>
              <w:right w:w="-4" w:type="dxa"/>
            </w:tcMar>
          </w:tcPr>
          <w:p w:rsidR="00A81612" w:rsidRPr="00A212EA" w:rsidRDefault="00A81612" w:rsidP="00BB0E87">
            <w:pPr>
              <w:jc w:val="center"/>
            </w:pPr>
            <w:r>
              <w:rPr>
                <w:rFonts w:ascii="Times New Roman" w:hAnsi="Times New Roman" w:cs="Times New Roman"/>
                <w:sz w:val="24"/>
                <w:szCs w:val="24"/>
              </w:rPr>
              <w:t>30,00</w:t>
            </w:r>
          </w:p>
        </w:tc>
      </w:tr>
      <w:tr w:rsidR="00BB0E87" w:rsidRPr="00A212EA">
        <w:tblPrEx>
          <w:tblCellMar>
            <w:top w:w="0" w:type="dxa"/>
            <w:bottom w:w="0" w:type="dxa"/>
          </w:tblCellMar>
        </w:tblPrEx>
        <w:trPr>
          <w:trHeight w:val="1"/>
        </w:trPr>
        <w:tc>
          <w:tcPr>
            <w:tcW w:w="14230" w:type="dxa"/>
            <w:gridSpan w:val="14"/>
            <w:tcBorders>
              <w:top w:val="single" w:sz="4" w:space="0" w:color="000000"/>
              <w:left w:val="single" w:sz="4" w:space="0" w:color="000000"/>
              <w:bottom w:val="single" w:sz="6" w:space="0" w:color="000000"/>
              <w:right w:val="single" w:sz="4" w:space="0" w:color="000000"/>
            </w:tcBorders>
            <w:shd w:val="clear" w:color="000000" w:fill="auto"/>
            <w:tcMar>
              <w:left w:w="-4" w:type="dxa"/>
              <w:right w:w="-4" w:type="dxa"/>
            </w:tcMar>
          </w:tcPr>
          <w:p w:rsidR="00BB0E87" w:rsidRPr="00BB0E87" w:rsidRDefault="00BB0E87" w:rsidP="00C9356E">
            <w:pPr>
              <w:jc w:val="center"/>
              <w:rPr>
                <w:rFonts w:ascii="Times New Roman" w:hAnsi="Times New Roman" w:cs="Times New Roman"/>
                <w:b/>
                <w:bCs/>
                <w:sz w:val="16"/>
                <w:szCs w:val="16"/>
              </w:rPr>
            </w:pPr>
          </w:p>
          <w:p w:rsidR="00BB0E87" w:rsidRDefault="00BB0E87" w:rsidP="00C9356E">
            <w:pPr>
              <w:jc w:val="center"/>
              <w:rPr>
                <w:rFonts w:ascii="Times New Roman" w:hAnsi="Times New Roman" w:cs="Times New Roman"/>
                <w:b/>
                <w:bCs/>
                <w:sz w:val="24"/>
                <w:szCs w:val="24"/>
              </w:rPr>
            </w:pPr>
            <w:r>
              <w:rPr>
                <w:rFonts w:ascii="Times New Roman" w:hAnsi="Times New Roman" w:cs="Times New Roman"/>
                <w:b/>
                <w:bCs/>
                <w:sz w:val="24"/>
                <w:szCs w:val="24"/>
              </w:rPr>
              <w:t>199,00</w:t>
            </w:r>
          </w:p>
          <w:p w:rsidR="00BB0E87" w:rsidRPr="00BB0E87" w:rsidRDefault="00BB0E87" w:rsidP="00C9356E">
            <w:pPr>
              <w:jc w:val="center"/>
              <w:rPr>
                <w:rFonts w:ascii="Times New Roman" w:hAnsi="Times New Roman" w:cs="Times New Roman"/>
                <w:sz w:val="16"/>
                <w:szCs w:val="16"/>
              </w:rPr>
            </w:pPr>
          </w:p>
        </w:tc>
      </w:tr>
    </w:tbl>
    <w:p w:rsidR="005F7B5C" w:rsidRDefault="005F7B5C" w:rsidP="00681929">
      <w:pPr>
        <w:jc w:val="center"/>
        <w:rPr>
          <w:rFonts w:ascii="Times New Roman" w:hAnsi="Times New Roman" w:cs="Times New Roman"/>
          <w:sz w:val="24"/>
          <w:szCs w:val="24"/>
        </w:rPr>
      </w:pPr>
      <w:r>
        <w:rPr>
          <w:rFonts w:ascii="Times New Roman" w:hAnsi="Times New Roman" w:cs="Times New Roman"/>
          <w:sz w:val="24"/>
          <w:szCs w:val="24"/>
        </w:rPr>
        <w:t>_______________________</w:t>
      </w:r>
    </w:p>
    <w:p w:rsidR="005F7B5C" w:rsidRDefault="005F7B5C">
      <w:pPr>
        <w:jc w:val="center"/>
        <w:rPr>
          <w:rFonts w:ascii="Times New Roman" w:hAnsi="Times New Roman" w:cs="Times New Roman"/>
          <w:sz w:val="24"/>
          <w:szCs w:val="24"/>
        </w:rPr>
      </w:pPr>
    </w:p>
    <w:sectPr w:rsidR="005F7B5C" w:rsidSect="00681929">
      <w:pgSz w:w="16838" w:h="11906" w:orient="landscape"/>
      <w:pgMar w:top="567"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9686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DB00B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296"/>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56"/>
    <w:rsid w:val="00090D80"/>
    <w:rsid w:val="000E4C03"/>
    <w:rsid w:val="00193325"/>
    <w:rsid w:val="00220843"/>
    <w:rsid w:val="00263CC4"/>
    <w:rsid w:val="00285527"/>
    <w:rsid w:val="002F65D4"/>
    <w:rsid w:val="003A53BA"/>
    <w:rsid w:val="003D7AED"/>
    <w:rsid w:val="00474DC8"/>
    <w:rsid w:val="00506C3F"/>
    <w:rsid w:val="005F7B5C"/>
    <w:rsid w:val="00642ABA"/>
    <w:rsid w:val="00681929"/>
    <w:rsid w:val="006E0EF5"/>
    <w:rsid w:val="0071166E"/>
    <w:rsid w:val="007956C4"/>
    <w:rsid w:val="008D4FDE"/>
    <w:rsid w:val="008E01C6"/>
    <w:rsid w:val="009D50BB"/>
    <w:rsid w:val="009F7A45"/>
    <w:rsid w:val="00A212EA"/>
    <w:rsid w:val="00A322DE"/>
    <w:rsid w:val="00A81612"/>
    <w:rsid w:val="00BA1EE1"/>
    <w:rsid w:val="00BB0E87"/>
    <w:rsid w:val="00C10946"/>
    <w:rsid w:val="00C9356E"/>
    <w:rsid w:val="00CA49AC"/>
    <w:rsid w:val="00CC0650"/>
    <w:rsid w:val="00D821B3"/>
    <w:rsid w:val="00E04C50"/>
    <w:rsid w:val="00E30AC5"/>
    <w:rsid w:val="00E91656"/>
    <w:rsid w:val="00EA3C9B"/>
    <w:rsid w:val="00EE0529"/>
    <w:rsid w:val="00F61B27"/>
    <w:rsid w:val="00F64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9A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cs="Calibri"/>
      <w:sz w:val="22"/>
      <w:szCs w:val="22"/>
      <w:lang w:val="lt-LT" w:eastAsia="lt-LT"/>
    </w:rPr>
  </w:style>
  <w:style w:type="character" w:default="1" w:styleId="Numatytasispastraiposriftas">
    <w:name w:val="Default Paragraph Font"/>
    <w:uiPriority w:val="99"/>
    <w:semiHidden/>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locked/>
    <w:rsid w:val="00EA3C9B"/>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cs="Calibri"/>
      <w:sz w:val="22"/>
      <w:szCs w:val="22"/>
      <w:lang w:val="lt-LT" w:eastAsia="lt-LT"/>
    </w:rPr>
  </w:style>
  <w:style w:type="character" w:default="1" w:styleId="Numatytasispastraiposriftas">
    <w:name w:val="Default Paragraph Font"/>
    <w:uiPriority w:val="99"/>
    <w:semiHidden/>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locked/>
    <w:rsid w:val="00EA3C9B"/>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2375</Words>
  <Characters>13540</Characters>
  <Application>Microsoft Office Word</Application>
  <DocSecurity>0</DocSecurity>
  <Lines>112</Lines>
  <Paragraphs>31</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Komp</dc:creator>
  <cp:lastModifiedBy>Jurgita Jurkonyte</cp:lastModifiedBy>
  <cp:revision>2</cp:revision>
  <dcterms:created xsi:type="dcterms:W3CDTF">2017-11-20T09:45:00Z</dcterms:created>
  <dcterms:modified xsi:type="dcterms:W3CDTF">2017-11-20T09:45:00Z</dcterms:modified>
</cp:coreProperties>
</file>